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77FA196"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023382">
        <w:rPr>
          <w:rFonts w:cs="Arial"/>
          <w:b/>
          <w:sz w:val="24"/>
          <w:szCs w:val="24"/>
        </w:rPr>
        <w:t>6066</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873074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77494" w:rsidRPr="00777494">
        <w:rPr>
          <w:rFonts w:cs="Arial"/>
          <w:sz w:val="22"/>
        </w:rPr>
        <w:t xml:space="preserve">A-MPR related to in-band PSD for </w:t>
      </w:r>
      <w:r w:rsidR="000A6B88">
        <w:rPr>
          <w:rFonts w:cs="Arial"/>
          <w:sz w:val="22"/>
        </w:rPr>
        <w:t>n96</w:t>
      </w:r>
      <w:r w:rsidR="00777494" w:rsidRPr="00777494">
        <w:rPr>
          <w:rFonts w:cs="Arial"/>
          <w:sz w:val="22"/>
        </w:rPr>
        <w:t xml:space="preserve"> UE in Korea</w:t>
      </w:r>
      <w:bookmarkStart w:id="2" w:name="_GoBack"/>
      <w:bookmarkEnd w:id="2"/>
    </w:p>
    <w:p w14:paraId="5E8A96B5" w14:textId="07C8CF49"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77494" w:rsidRPr="00777494">
        <w:rPr>
          <w:rFonts w:ascii="Arial" w:hAnsi="Arial" w:cs="Arial"/>
          <w:sz w:val="22"/>
        </w:rPr>
        <w:t>9.2.3 UE RF requirements [NR_6GHz_unlic_full-Core]</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0F0270C0"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4#101b-e</w:t>
      </w:r>
      <w:r w:rsidR="00530C06">
        <w:rPr>
          <w:rFonts w:eastAsia="SimSun"/>
          <w:lang w:eastAsia="zh-CN"/>
        </w:rPr>
        <w:t xml:space="preserve">, </w:t>
      </w:r>
      <w:r w:rsidR="00023382">
        <w:rPr>
          <w:rFonts w:eastAsia="SimSun"/>
          <w:lang w:eastAsia="zh-CN"/>
        </w:rPr>
        <w:t>preliminary input were provided in [1] on A-MPR</w:t>
      </w:r>
      <w:r w:rsidR="00023382">
        <w:rPr>
          <w:lang w:val="en-GB" w:eastAsia="zh-CN"/>
        </w:rPr>
        <w:t xml:space="preserve"> for VLP mode in Korea, this A-MPR study focussed on the band edge cases that are subject to OOB emission requirements. In this contribution, we provide A-MPR for LPI and VLP modes for channels that are not limited by OOB emissions. We also provide our view on the definition of a lower power class than PC5 for NR-U.</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11419E5" w14:textId="43CE12C9" w:rsidR="00BF6CD3" w:rsidRDefault="0044427A" w:rsidP="0044427A">
      <w:pPr>
        <w:rPr>
          <w:lang w:eastAsia="zh-CN"/>
        </w:rPr>
      </w:pPr>
      <w:r>
        <w:rPr>
          <w:lang w:eastAsia="zh-CN"/>
        </w:rPr>
        <w:t xml:space="preserve">Table 1 </w:t>
      </w:r>
      <w:r w:rsidR="00F808FE">
        <w:rPr>
          <w:lang w:eastAsia="zh-CN"/>
        </w:rPr>
        <w:t>provides the requirement applicable to</w:t>
      </w:r>
      <w:r w:rsidR="00E67F10">
        <w:rPr>
          <w:lang w:eastAsia="zh-CN"/>
        </w:rPr>
        <w:t xml:space="preserve"> n96 in Korea for LPI and VLP m</w:t>
      </w:r>
      <w:r w:rsidR="00F808FE">
        <w:rPr>
          <w:lang w:eastAsia="zh-CN"/>
        </w:rPr>
        <w:t>odes</w:t>
      </w:r>
    </w:p>
    <w:p w14:paraId="29DADB37" w14:textId="3CC3B0F5" w:rsidR="0044427A" w:rsidRDefault="0044427A" w:rsidP="0044427A">
      <w:pPr>
        <w:pStyle w:val="Caption"/>
        <w:keepNext/>
        <w:jc w:val="center"/>
      </w:pPr>
      <w:r>
        <w:t xml:space="preserve">Table </w:t>
      </w:r>
      <w:r w:rsidR="00F04523">
        <w:fldChar w:fldCharType="begin"/>
      </w:r>
      <w:r w:rsidR="00F04523">
        <w:instrText xml:space="preserve"> SEQ Table \* ARABIC </w:instrText>
      </w:r>
      <w:r w:rsidR="00F04523">
        <w:fldChar w:fldCharType="separate"/>
      </w:r>
      <w:r>
        <w:rPr>
          <w:noProof/>
        </w:rPr>
        <w:t>1</w:t>
      </w:r>
      <w:r w:rsidR="00F04523">
        <w:rPr>
          <w:noProof/>
        </w:rPr>
        <w:fldChar w:fldCharType="end"/>
      </w:r>
      <w:r w:rsidR="00FC253B">
        <w:t>: Emission r</w:t>
      </w:r>
      <w:r>
        <w:t xml:space="preserve">equirement for LPI and VLP modes for Korea </w:t>
      </w:r>
    </w:p>
    <w:tbl>
      <w:tblPr>
        <w:tblW w:w="10052" w:type="dxa"/>
        <w:jc w:val="center"/>
        <w:tblInd w:w="93" w:type="dxa"/>
        <w:tblLook w:val="04A0" w:firstRow="1" w:lastRow="0" w:firstColumn="1" w:lastColumn="0" w:noHBand="0" w:noVBand="1"/>
      </w:tblPr>
      <w:tblGrid>
        <w:gridCol w:w="963"/>
        <w:gridCol w:w="888"/>
        <w:gridCol w:w="732"/>
        <w:gridCol w:w="1439"/>
        <w:gridCol w:w="1620"/>
        <w:gridCol w:w="1620"/>
        <w:gridCol w:w="2790"/>
      </w:tblGrid>
      <w:tr w:rsidR="00FC253B" w:rsidRPr="00FC253B" w14:paraId="000B5D25" w14:textId="2276CF4B" w:rsidTr="00FC253B">
        <w:trPr>
          <w:trHeight w:val="70"/>
          <w:jc w:val="center"/>
        </w:trPr>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75C98" w14:textId="77777777" w:rsidR="00FC253B" w:rsidRPr="003D05F0" w:rsidRDefault="00FC253B" w:rsidP="0044427A">
            <w:pPr>
              <w:overflowPunct/>
              <w:autoSpaceDE/>
              <w:autoSpaceDN/>
              <w:adjustRightInd/>
              <w:spacing w:after="0"/>
              <w:jc w:val="center"/>
              <w:textAlignment w:val="auto"/>
              <w:rPr>
                <w:rFonts w:asciiTheme="minorHAnsi" w:hAnsiTheme="minorHAnsi" w:cs="Arial"/>
                <w:b/>
                <w:bCs/>
                <w:color w:val="000000"/>
                <w:sz w:val="18"/>
                <w:szCs w:val="18"/>
              </w:rPr>
            </w:pPr>
            <w:r w:rsidRPr="003D05F0">
              <w:rPr>
                <w:rFonts w:asciiTheme="minorHAnsi" w:hAnsiTheme="minorHAnsi" w:cs="Arial"/>
                <w:b/>
                <w:bCs/>
                <w:color w:val="000000"/>
                <w:sz w:val="18"/>
                <w:szCs w:val="18"/>
              </w:rPr>
              <w:t>NR Band</w:t>
            </w:r>
          </w:p>
        </w:tc>
        <w:tc>
          <w:tcPr>
            <w:tcW w:w="888" w:type="dxa"/>
            <w:tcBorders>
              <w:top w:val="single" w:sz="4" w:space="0" w:color="auto"/>
              <w:left w:val="nil"/>
              <w:bottom w:val="single" w:sz="4" w:space="0" w:color="auto"/>
              <w:right w:val="single" w:sz="4" w:space="0" w:color="auto"/>
            </w:tcBorders>
            <w:shd w:val="clear" w:color="auto" w:fill="auto"/>
            <w:vAlign w:val="center"/>
            <w:hideMark/>
          </w:tcPr>
          <w:p w14:paraId="5F981BD1" w14:textId="330DC049" w:rsidR="00FC253B" w:rsidRPr="003D05F0" w:rsidRDefault="00FC253B" w:rsidP="0044427A">
            <w:pPr>
              <w:overflowPunct/>
              <w:autoSpaceDE/>
              <w:autoSpaceDN/>
              <w:adjustRightInd/>
              <w:spacing w:after="0"/>
              <w:jc w:val="center"/>
              <w:textAlignment w:val="auto"/>
              <w:rPr>
                <w:rFonts w:asciiTheme="minorHAnsi" w:hAnsiTheme="minorHAnsi" w:cs="Arial"/>
                <w:b/>
                <w:bCs/>
                <w:color w:val="000000"/>
                <w:sz w:val="18"/>
                <w:szCs w:val="18"/>
              </w:rPr>
            </w:pPr>
            <w:r w:rsidRPr="00FC253B">
              <w:rPr>
                <w:rFonts w:asciiTheme="minorHAnsi" w:hAnsiTheme="minorHAnsi" w:cs="Arial"/>
                <w:b/>
                <w:bCs/>
                <w:color w:val="000000"/>
                <w:sz w:val="18"/>
                <w:szCs w:val="18"/>
              </w:rPr>
              <w:t>Country</w:t>
            </w:r>
          </w:p>
        </w:tc>
        <w:tc>
          <w:tcPr>
            <w:tcW w:w="732" w:type="dxa"/>
            <w:tcBorders>
              <w:top w:val="single" w:sz="4" w:space="0" w:color="auto"/>
              <w:left w:val="nil"/>
              <w:bottom w:val="nil"/>
              <w:right w:val="single" w:sz="4" w:space="0" w:color="auto"/>
            </w:tcBorders>
            <w:shd w:val="clear" w:color="auto" w:fill="auto"/>
            <w:vAlign w:val="center"/>
            <w:hideMark/>
          </w:tcPr>
          <w:p w14:paraId="697010A4" w14:textId="77777777" w:rsidR="00FC253B" w:rsidRPr="003D05F0" w:rsidRDefault="00FC253B" w:rsidP="0044427A">
            <w:pPr>
              <w:overflowPunct/>
              <w:autoSpaceDE/>
              <w:autoSpaceDN/>
              <w:adjustRightInd/>
              <w:spacing w:after="0"/>
              <w:jc w:val="center"/>
              <w:textAlignment w:val="auto"/>
              <w:rPr>
                <w:rFonts w:asciiTheme="minorHAnsi" w:hAnsiTheme="minorHAnsi" w:cs="Arial"/>
                <w:b/>
                <w:bCs/>
                <w:color w:val="000000"/>
                <w:sz w:val="18"/>
                <w:szCs w:val="18"/>
              </w:rPr>
            </w:pPr>
            <w:r w:rsidRPr="003D05F0">
              <w:rPr>
                <w:rFonts w:asciiTheme="minorHAnsi" w:hAnsiTheme="minorHAnsi" w:cs="Arial"/>
                <w:b/>
                <w:bCs/>
                <w:color w:val="000000"/>
                <w:sz w:val="18"/>
                <w:szCs w:val="18"/>
              </w:rPr>
              <w:t>Mode</w:t>
            </w:r>
          </w:p>
        </w:tc>
        <w:tc>
          <w:tcPr>
            <w:tcW w:w="1439" w:type="dxa"/>
            <w:tcBorders>
              <w:top w:val="single" w:sz="4" w:space="0" w:color="auto"/>
              <w:left w:val="single" w:sz="4" w:space="0" w:color="auto"/>
              <w:bottom w:val="nil"/>
              <w:right w:val="single" w:sz="4" w:space="0" w:color="auto"/>
            </w:tcBorders>
            <w:shd w:val="clear" w:color="auto" w:fill="auto"/>
            <w:vAlign w:val="center"/>
            <w:hideMark/>
          </w:tcPr>
          <w:p w14:paraId="7F6FECD6" w14:textId="77777777" w:rsidR="00FC253B" w:rsidRPr="003D05F0" w:rsidRDefault="00FC253B" w:rsidP="0044427A">
            <w:pPr>
              <w:overflowPunct/>
              <w:autoSpaceDE/>
              <w:autoSpaceDN/>
              <w:adjustRightInd/>
              <w:spacing w:after="0"/>
              <w:jc w:val="center"/>
              <w:textAlignment w:val="auto"/>
              <w:rPr>
                <w:rFonts w:asciiTheme="minorHAnsi" w:hAnsiTheme="minorHAnsi" w:cs="Arial"/>
                <w:b/>
                <w:bCs/>
                <w:color w:val="000000"/>
                <w:sz w:val="18"/>
                <w:szCs w:val="18"/>
              </w:rPr>
            </w:pPr>
            <w:r w:rsidRPr="003D05F0">
              <w:rPr>
                <w:rFonts w:asciiTheme="minorHAnsi" w:hAnsiTheme="minorHAnsi" w:cs="Arial"/>
                <w:b/>
                <w:bCs/>
                <w:color w:val="000000"/>
                <w:sz w:val="18"/>
                <w:szCs w:val="18"/>
              </w:rPr>
              <w:t>Frequency range [MHz]</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3DDBCA4" w14:textId="267041D1" w:rsidR="00FC253B" w:rsidRPr="003D05F0" w:rsidRDefault="00FC253B" w:rsidP="0044427A">
            <w:pPr>
              <w:overflowPunct/>
              <w:autoSpaceDE/>
              <w:autoSpaceDN/>
              <w:adjustRightInd/>
              <w:spacing w:after="0"/>
              <w:jc w:val="center"/>
              <w:textAlignment w:val="auto"/>
              <w:rPr>
                <w:rFonts w:asciiTheme="minorHAnsi" w:hAnsiTheme="minorHAnsi" w:cs="Arial"/>
                <w:b/>
                <w:bCs/>
                <w:color w:val="000000"/>
                <w:sz w:val="18"/>
                <w:szCs w:val="18"/>
              </w:rPr>
            </w:pPr>
            <w:r w:rsidRPr="003D05F0">
              <w:rPr>
                <w:rFonts w:asciiTheme="minorHAnsi" w:hAnsiTheme="minorHAnsi" w:cs="Arial"/>
                <w:b/>
                <w:bCs/>
                <w:color w:val="000000"/>
                <w:sz w:val="18"/>
                <w:szCs w:val="18"/>
              </w:rPr>
              <w:t>IB PSD</w:t>
            </w:r>
            <w:r w:rsidRPr="00FC253B">
              <w:rPr>
                <w:rFonts w:asciiTheme="minorHAnsi" w:hAnsiTheme="minorHAnsi" w:cs="Arial"/>
                <w:b/>
                <w:bCs/>
                <w:color w:val="000000"/>
                <w:sz w:val="18"/>
                <w:szCs w:val="18"/>
              </w:rPr>
              <w:t xml:space="preserve"> [</w:t>
            </w:r>
            <w:proofErr w:type="spellStart"/>
            <w:r w:rsidRPr="003D05F0">
              <w:rPr>
                <w:rFonts w:asciiTheme="minorHAnsi" w:hAnsiTheme="minorHAnsi" w:cs="Arial"/>
                <w:b/>
                <w:bCs/>
                <w:color w:val="000000"/>
                <w:sz w:val="18"/>
                <w:szCs w:val="18"/>
              </w:rPr>
              <w:t>dBm</w:t>
            </w:r>
            <w:proofErr w:type="spellEnd"/>
            <w:r w:rsidRPr="003D05F0">
              <w:rPr>
                <w:rFonts w:asciiTheme="minorHAnsi" w:hAnsiTheme="minorHAnsi" w:cs="Arial"/>
                <w:b/>
                <w:bCs/>
                <w:color w:val="000000"/>
                <w:sz w:val="18"/>
                <w:szCs w:val="18"/>
              </w:rPr>
              <w:t>/MHz</w:t>
            </w:r>
            <w:r w:rsidRPr="00FC253B">
              <w:rPr>
                <w:rFonts w:asciiTheme="minorHAnsi" w:hAnsiTheme="minorHAnsi" w:cs="Arial"/>
                <w:b/>
                <w:bCs/>
                <w:color w:val="000000"/>
                <w:sz w:val="18"/>
                <w:szCs w:val="18"/>
              </w:rPr>
              <w:t>]</w:t>
            </w:r>
          </w:p>
        </w:tc>
        <w:tc>
          <w:tcPr>
            <w:tcW w:w="1620" w:type="dxa"/>
            <w:tcBorders>
              <w:top w:val="single" w:sz="4" w:space="0" w:color="auto"/>
              <w:left w:val="nil"/>
              <w:bottom w:val="nil"/>
              <w:right w:val="single" w:sz="4" w:space="0" w:color="auto"/>
            </w:tcBorders>
            <w:shd w:val="clear" w:color="auto" w:fill="auto"/>
            <w:vAlign w:val="center"/>
            <w:hideMark/>
          </w:tcPr>
          <w:p w14:paraId="6C9A8C75" w14:textId="666AA110" w:rsidR="00FC253B" w:rsidRPr="003D05F0" w:rsidRDefault="00FC253B" w:rsidP="0044427A">
            <w:pPr>
              <w:overflowPunct/>
              <w:autoSpaceDE/>
              <w:autoSpaceDN/>
              <w:adjustRightInd/>
              <w:spacing w:after="0"/>
              <w:jc w:val="center"/>
              <w:textAlignment w:val="auto"/>
              <w:rPr>
                <w:rFonts w:asciiTheme="minorHAnsi" w:hAnsiTheme="minorHAnsi" w:cs="Arial"/>
                <w:b/>
                <w:bCs/>
                <w:color w:val="000000"/>
                <w:sz w:val="18"/>
                <w:szCs w:val="18"/>
              </w:rPr>
            </w:pPr>
            <w:r w:rsidRPr="00FC253B">
              <w:rPr>
                <w:rFonts w:asciiTheme="minorHAnsi" w:hAnsiTheme="minorHAnsi" w:cs="Arial"/>
                <w:b/>
                <w:bCs/>
                <w:color w:val="000000"/>
                <w:sz w:val="18"/>
                <w:szCs w:val="18"/>
              </w:rPr>
              <w:t xml:space="preserve">Max. in-band mean EIRP </w:t>
            </w:r>
            <w:r w:rsidRPr="003D05F0">
              <w:rPr>
                <w:rFonts w:asciiTheme="minorHAnsi" w:hAnsiTheme="minorHAnsi" w:cs="Arial"/>
                <w:b/>
                <w:bCs/>
                <w:color w:val="000000"/>
                <w:sz w:val="18"/>
                <w:szCs w:val="18"/>
              </w:rPr>
              <w:t>[</w:t>
            </w:r>
            <w:proofErr w:type="spellStart"/>
            <w:r w:rsidRPr="003D05F0">
              <w:rPr>
                <w:rFonts w:asciiTheme="minorHAnsi" w:hAnsiTheme="minorHAnsi" w:cs="Arial"/>
                <w:b/>
                <w:bCs/>
                <w:color w:val="000000"/>
                <w:sz w:val="18"/>
                <w:szCs w:val="18"/>
              </w:rPr>
              <w:t>dBm</w:t>
            </w:r>
            <w:proofErr w:type="spellEnd"/>
            <w:r w:rsidRPr="003D05F0">
              <w:rPr>
                <w:rFonts w:asciiTheme="minorHAnsi" w:hAnsiTheme="minorHAnsi" w:cs="Arial"/>
                <w:b/>
                <w:bCs/>
                <w:color w:val="000000"/>
                <w:sz w:val="18"/>
                <w:szCs w:val="18"/>
              </w:rPr>
              <w:t>]</w:t>
            </w:r>
          </w:p>
        </w:tc>
        <w:tc>
          <w:tcPr>
            <w:tcW w:w="2790" w:type="dxa"/>
            <w:tcBorders>
              <w:top w:val="single" w:sz="4" w:space="0" w:color="auto"/>
              <w:left w:val="nil"/>
              <w:bottom w:val="nil"/>
              <w:right w:val="single" w:sz="4" w:space="0" w:color="auto"/>
            </w:tcBorders>
          </w:tcPr>
          <w:p w14:paraId="014D7815" w14:textId="184C0569" w:rsidR="00FC253B" w:rsidRPr="00FC253B" w:rsidRDefault="00FC253B" w:rsidP="00FC253B">
            <w:pPr>
              <w:overflowPunct/>
              <w:autoSpaceDE/>
              <w:autoSpaceDN/>
              <w:adjustRightInd/>
              <w:spacing w:after="0"/>
              <w:jc w:val="center"/>
              <w:textAlignment w:val="auto"/>
              <w:rPr>
                <w:rFonts w:asciiTheme="minorHAnsi" w:hAnsiTheme="minorHAnsi" w:cs="Arial"/>
                <w:b/>
                <w:bCs/>
                <w:color w:val="000000"/>
                <w:sz w:val="18"/>
                <w:szCs w:val="18"/>
              </w:rPr>
            </w:pPr>
            <w:r w:rsidRPr="00FC253B">
              <w:rPr>
                <w:rFonts w:asciiTheme="minorHAnsi" w:hAnsiTheme="minorHAnsi" w:cs="Arial"/>
                <w:b/>
                <w:bCs/>
                <w:color w:val="000000"/>
                <w:sz w:val="18"/>
                <w:szCs w:val="18"/>
              </w:rPr>
              <w:t>Max mean out-of-band EIRP PSD</w:t>
            </w:r>
          </w:p>
          <w:p w14:paraId="42FB4644" w14:textId="14046E56" w:rsidR="00FC253B" w:rsidRPr="00FC253B" w:rsidRDefault="00FC253B" w:rsidP="00FC253B">
            <w:pPr>
              <w:overflowPunct/>
              <w:autoSpaceDE/>
              <w:autoSpaceDN/>
              <w:adjustRightInd/>
              <w:spacing w:after="0"/>
              <w:jc w:val="center"/>
              <w:textAlignment w:val="auto"/>
              <w:rPr>
                <w:rFonts w:asciiTheme="minorHAnsi" w:hAnsiTheme="minorHAnsi" w:cs="Arial"/>
                <w:b/>
                <w:bCs/>
                <w:color w:val="000000"/>
                <w:sz w:val="18"/>
                <w:szCs w:val="18"/>
              </w:rPr>
            </w:pPr>
            <w:r w:rsidRPr="00FC253B">
              <w:rPr>
                <w:rFonts w:asciiTheme="minorHAnsi" w:hAnsiTheme="minorHAnsi" w:cs="Arial"/>
                <w:b/>
                <w:bCs/>
                <w:color w:val="000000"/>
                <w:sz w:val="18"/>
                <w:szCs w:val="18"/>
              </w:rPr>
              <w:t>[</w:t>
            </w:r>
            <w:proofErr w:type="spellStart"/>
            <w:r w:rsidRPr="00FC253B">
              <w:rPr>
                <w:rFonts w:asciiTheme="minorHAnsi" w:hAnsiTheme="minorHAnsi" w:cs="Arial"/>
                <w:b/>
                <w:bCs/>
                <w:color w:val="000000"/>
                <w:sz w:val="18"/>
                <w:szCs w:val="18"/>
              </w:rPr>
              <w:t>dBm</w:t>
            </w:r>
            <w:proofErr w:type="spellEnd"/>
            <w:r w:rsidRPr="00FC253B">
              <w:rPr>
                <w:rFonts w:asciiTheme="minorHAnsi" w:hAnsiTheme="minorHAnsi" w:cs="Arial"/>
                <w:b/>
                <w:bCs/>
                <w:color w:val="000000"/>
                <w:sz w:val="18"/>
                <w:szCs w:val="18"/>
              </w:rPr>
              <w:t>/MHz]</w:t>
            </w:r>
          </w:p>
        </w:tc>
      </w:tr>
      <w:tr w:rsidR="00FC253B" w:rsidRPr="00FC253B" w14:paraId="78E7EADC" w14:textId="3CC36643" w:rsidTr="00FC253B">
        <w:trPr>
          <w:trHeight w:val="288"/>
          <w:jc w:val="center"/>
        </w:trPr>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4F00F2A3"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Region 3</w:t>
            </w:r>
            <w:r w:rsidRPr="003D05F0">
              <w:rPr>
                <w:rFonts w:asciiTheme="minorHAnsi" w:hAnsiTheme="minorHAnsi" w:cs="Arial"/>
                <w:color w:val="000000"/>
                <w:sz w:val="18"/>
                <w:szCs w:val="18"/>
              </w:rPr>
              <w:br/>
              <w:t>n96</w:t>
            </w:r>
          </w:p>
        </w:tc>
        <w:tc>
          <w:tcPr>
            <w:tcW w:w="888" w:type="dxa"/>
            <w:vMerge w:val="restart"/>
            <w:tcBorders>
              <w:top w:val="nil"/>
              <w:left w:val="single" w:sz="4" w:space="0" w:color="auto"/>
              <w:bottom w:val="single" w:sz="4" w:space="0" w:color="auto"/>
              <w:right w:val="single" w:sz="4" w:space="0" w:color="auto"/>
            </w:tcBorders>
            <w:shd w:val="clear" w:color="auto" w:fill="auto"/>
            <w:vAlign w:val="center"/>
            <w:hideMark/>
          </w:tcPr>
          <w:p w14:paraId="6CBA98D7" w14:textId="77777777" w:rsidR="00FC253B" w:rsidRPr="00FC253B"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FC253B">
              <w:rPr>
                <w:rFonts w:asciiTheme="minorHAnsi" w:hAnsiTheme="minorHAnsi" w:cs="Arial"/>
                <w:color w:val="000000"/>
                <w:sz w:val="18"/>
                <w:szCs w:val="18"/>
              </w:rPr>
              <w:t>South</w:t>
            </w:r>
          </w:p>
          <w:p w14:paraId="726938C5" w14:textId="4D866D76"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Korea</w:t>
            </w:r>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49B3D813"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LPI</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10DE8DBC"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5925-7125</w:t>
            </w:r>
          </w:p>
        </w:tc>
        <w:tc>
          <w:tcPr>
            <w:tcW w:w="1620" w:type="dxa"/>
            <w:tcBorders>
              <w:top w:val="nil"/>
              <w:left w:val="nil"/>
              <w:bottom w:val="single" w:sz="4" w:space="0" w:color="auto"/>
              <w:right w:val="single" w:sz="4" w:space="0" w:color="auto"/>
            </w:tcBorders>
            <w:shd w:val="clear" w:color="auto" w:fill="auto"/>
            <w:vAlign w:val="center"/>
            <w:hideMark/>
          </w:tcPr>
          <w:p w14:paraId="44F012EE"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2</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912FFB0"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24</w:t>
            </w:r>
          </w:p>
        </w:tc>
        <w:tc>
          <w:tcPr>
            <w:tcW w:w="2790" w:type="dxa"/>
            <w:tcBorders>
              <w:top w:val="single" w:sz="4" w:space="0" w:color="auto"/>
              <w:left w:val="nil"/>
              <w:bottom w:val="single" w:sz="4" w:space="0" w:color="auto"/>
              <w:right w:val="single" w:sz="4" w:space="0" w:color="auto"/>
            </w:tcBorders>
            <w:vAlign w:val="center"/>
          </w:tcPr>
          <w:p w14:paraId="2F36DDBA" w14:textId="262AD89C" w:rsidR="00FC253B" w:rsidRPr="00FC253B"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FC253B">
              <w:rPr>
                <w:rFonts w:asciiTheme="minorHAnsi" w:hAnsiTheme="minorHAnsi" w:cs="Arial"/>
                <w:color w:val="000000"/>
                <w:sz w:val="18"/>
                <w:szCs w:val="18"/>
              </w:rPr>
              <w:t>-27 (outside operational range)</w:t>
            </w:r>
          </w:p>
        </w:tc>
      </w:tr>
      <w:tr w:rsidR="00FC253B" w:rsidRPr="00FC253B" w14:paraId="056274AE" w14:textId="66E4E3B0" w:rsidTr="00FC253B">
        <w:trPr>
          <w:trHeight w:val="288"/>
          <w:jc w:val="center"/>
        </w:trPr>
        <w:tc>
          <w:tcPr>
            <w:tcW w:w="963" w:type="dxa"/>
            <w:vMerge/>
            <w:tcBorders>
              <w:top w:val="nil"/>
              <w:left w:val="single" w:sz="4" w:space="0" w:color="auto"/>
              <w:bottom w:val="single" w:sz="4" w:space="0" w:color="auto"/>
              <w:right w:val="single" w:sz="4" w:space="0" w:color="auto"/>
            </w:tcBorders>
            <w:vAlign w:val="center"/>
            <w:hideMark/>
          </w:tcPr>
          <w:p w14:paraId="7429F7A6"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p>
        </w:tc>
        <w:tc>
          <w:tcPr>
            <w:tcW w:w="888" w:type="dxa"/>
            <w:vMerge/>
            <w:tcBorders>
              <w:top w:val="nil"/>
              <w:left w:val="single" w:sz="4" w:space="0" w:color="auto"/>
              <w:bottom w:val="single" w:sz="4" w:space="0" w:color="auto"/>
              <w:right w:val="single" w:sz="4" w:space="0" w:color="auto"/>
            </w:tcBorders>
            <w:vAlign w:val="center"/>
            <w:hideMark/>
          </w:tcPr>
          <w:p w14:paraId="090E93B8"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p>
        </w:tc>
        <w:tc>
          <w:tcPr>
            <w:tcW w:w="732" w:type="dxa"/>
            <w:tcBorders>
              <w:top w:val="nil"/>
              <w:left w:val="nil"/>
              <w:bottom w:val="single" w:sz="4" w:space="0" w:color="auto"/>
              <w:right w:val="single" w:sz="4" w:space="0" w:color="auto"/>
            </w:tcBorders>
            <w:shd w:val="clear" w:color="auto" w:fill="auto"/>
            <w:vAlign w:val="center"/>
            <w:hideMark/>
          </w:tcPr>
          <w:p w14:paraId="0F45A96D"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VLP</w:t>
            </w:r>
          </w:p>
        </w:tc>
        <w:tc>
          <w:tcPr>
            <w:tcW w:w="1439" w:type="dxa"/>
            <w:tcBorders>
              <w:top w:val="nil"/>
              <w:left w:val="nil"/>
              <w:bottom w:val="single" w:sz="4" w:space="0" w:color="auto"/>
              <w:right w:val="single" w:sz="4" w:space="0" w:color="auto"/>
            </w:tcBorders>
            <w:shd w:val="clear" w:color="auto" w:fill="auto"/>
            <w:vAlign w:val="center"/>
            <w:hideMark/>
          </w:tcPr>
          <w:p w14:paraId="485FA9F1"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5925-6425</w:t>
            </w:r>
          </w:p>
        </w:tc>
        <w:tc>
          <w:tcPr>
            <w:tcW w:w="1620" w:type="dxa"/>
            <w:tcBorders>
              <w:top w:val="nil"/>
              <w:left w:val="nil"/>
              <w:bottom w:val="single" w:sz="4" w:space="0" w:color="auto"/>
              <w:right w:val="single" w:sz="4" w:space="0" w:color="auto"/>
            </w:tcBorders>
            <w:shd w:val="clear" w:color="auto" w:fill="auto"/>
            <w:vAlign w:val="center"/>
            <w:hideMark/>
          </w:tcPr>
          <w:p w14:paraId="190763BC"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1</w:t>
            </w:r>
          </w:p>
        </w:tc>
        <w:tc>
          <w:tcPr>
            <w:tcW w:w="1620" w:type="dxa"/>
            <w:tcBorders>
              <w:top w:val="nil"/>
              <w:left w:val="nil"/>
              <w:bottom w:val="single" w:sz="4" w:space="0" w:color="auto"/>
              <w:right w:val="single" w:sz="4" w:space="0" w:color="auto"/>
            </w:tcBorders>
            <w:shd w:val="clear" w:color="auto" w:fill="auto"/>
            <w:vAlign w:val="center"/>
            <w:hideMark/>
          </w:tcPr>
          <w:p w14:paraId="4B89ED53" w14:textId="77777777" w:rsidR="00FC253B" w:rsidRPr="003D05F0"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3D05F0">
              <w:rPr>
                <w:rFonts w:asciiTheme="minorHAnsi" w:hAnsiTheme="minorHAnsi" w:cs="Arial"/>
                <w:color w:val="000000"/>
                <w:sz w:val="18"/>
                <w:szCs w:val="18"/>
              </w:rPr>
              <w:t>14</w:t>
            </w:r>
          </w:p>
        </w:tc>
        <w:tc>
          <w:tcPr>
            <w:tcW w:w="2790" w:type="dxa"/>
            <w:tcBorders>
              <w:top w:val="nil"/>
              <w:left w:val="nil"/>
              <w:bottom w:val="single" w:sz="4" w:space="0" w:color="auto"/>
              <w:right w:val="single" w:sz="4" w:space="0" w:color="auto"/>
            </w:tcBorders>
            <w:vAlign w:val="center"/>
          </w:tcPr>
          <w:p w14:paraId="75FFBCD6" w14:textId="54C4ADCA" w:rsidR="00FC253B" w:rsidRPr="00FC253B" w:rsidRDefault="00FC253B" w:rsidP="0044427A">
            <w:pPr>
              <w:overflowPunct/>
              <w:autoSpaceDE/>
              <w:autoSpaceDN/>
              <w:adjustRightInd/>
              <w:spacing w:after="0"/>
              <w:jc w:val="center"/>
              <w:textAlignment w:val="auto"/>
              <w:rPr>
                <w:rFonts w:asciiTheme="minorHAnsi" w:hAnsiTheme="minorHAnsi" w:cs="Arial"/>
                <w:color w:val="000000"/>
                <w:sz w:val="18"/>
                <w:szCs w:val="18"/>
              </w:rPr>
            </w:pPr>
            <w:r w:rsidRPr="00FC253B">
              <w:rPr>
                <w:rFonts w:asciiTheme="minorHAnsi" w:hAnsiTheme="minorHAnsi" w:cs="Arial"/>
                <w:color w:val="000000"/>
                <w:sz w:val="18"/>
                <w:szCs w:val="18"/>
              </w:rPr>
              <w:t>-34 (outside operational range)</w:t>
            </w:r>
          </w:p>
        </w:tc>
      </w:tr>
    </w:tbl>
    <w:p w14:paraId="5B08FA16" w14:textId="77777777" w:rsidR="00F808FE" w:rsidRDefault="00F808FE" w:rsidP="00F808FE">
      <w:pPr>
        <w:spacing w:after="0"/>
        <w:rPr>
          <w:lang w:eastAsia="zh-CN"/>
        </w:rPr>
      </w:pPr>
    </w:p>
    <w:p w14:paraId="026F02C6" w14:textId="009419DD" w:rsidR="00F808FE" w:rsidRPr="00F808FE" w:rsidRDefault="00F808FE" w:rsidP="00F808FE">
      <w:pPr>
        <w:rPr>
          <w:b/>
          <w:lang w:eastAsia="zh-CN"/>
        </w:rPr>
      </w:pPr>
      <w:r w:rsidRPr="00F808FE">
        <w:rPr>
          <w:b/>
          <w:lang w:eastAsia="zh-CN"/>
        </w:rPr>
        <w:t>Observation: if there is only 1dB lower in band PSD difference for VLP versus LPI, the peak EIRP goes from PC5 level (including some antenna gain) to 6dB lower.</w:t>
      </w:r>
    </w:p>
    <w:p w14:paraId="5FB2BED3" w14:textId="55A0BDDE" w:rsidR="005F2D4C" w:rsidRDefault="00F808FE" w:rsidP="005F2D4C">
      <w:pPr>
        <w:pStyle w:val="Heading2"/>
        <w:spacing w:after="240"/>
        <w:rPr>
          <w:lang w:eastAsia="zh-CN"/>
        </w:rPr>
      </w:pPr>
      <w:r>
        <w:rPr>
          <w:lang w:eastAsia="zh-CN"/>
        </w:rPr>
        <w:t>PC5 A-MPR for channels not subject to OOB limitations</w:t>
      </w:r>
    </w:p>
    <w:p w14:paraId="0F79D13E" w14:textId="1529F2A0" w:rsidR="00FC253B" w:rsidRDefault="00FC253B" w:rsidP="00F808FE">
      <w:pPr>
        <w:spacing w:after="0"/>
        <w:rPr>
          <w:lang w:val="en-GB" w:eastAsia="zh-CN"/>
        </w:rPr>
      </w:pPr>
      <w:r>
        <w:rPr>
          <w:lang w:val="en-GB" w:eastAsia="zh-CN"/>
        </w:rPr>
        <w:t xml:space="preserve">A-MPR </w:t>
      </w:r>
      <w:r w:rsidR="00376BF2">
        <w:rPr>
          <w:lang w:val="en-GB" w:eastAsia="zh-CN"/>
        </w:rPr>
        <w:t xml:space="preserve">values </w:t>
      </w:r>
      <w:r>
        <w:rPr>
          <w:lang w:val="en-GB" w:eastAsia="zh-CN"/>
        </w:rPr>
        <w:t>provided in [1] are applicable only to channels on the band edges that are subject to OOB emission limit.</w:t>
      </w:r>
    </w:p>
    <w:p w14:paraId="3AEC8DF5" w14:textId="77777777" w:rsidR="00FC253B" w:rsidRDefault="00FC253B" w:rsidP="00F808FE">
      <w:pPr>
        <w:spacing w:after="0"/>
        <w:rPr>
          <w:lang w:val="en-GB" w:eastAsia="zh-CN"/>
        </w:rPr>
      </w:pPr>
    </w:p>
    <w:p w14:paraId="69BEF299" w14:textId="4F5CEC92" w:rsidR="00F808FE" w:rsidRDefault="00F808FE" w:rsidP="00F808FE">
      <w:pPr>
        <w:spacing w:after="0"/>
        <w:rPr>
          <w:lang w:val="en-GB" w:eastAsia="zh-CN"/>
        </w:rPr>
      </w:pPr>
      <w:r>
        <w:rPr>
          <w:lang w:val="en-GB" w:eastAsia="zh-CN"/>
        </w:rPr>
        <w:t>For channels that are far away enough from the band edge, the A-MPR is dictated by either in-band PSD or EIRP requirement. These can be easily calculated and are shown in Table 2:</w:t>
      </w:r>
    </w:p>
    <w:p w14:paraId="4D48A826" w14:textId="05B01E9E" w:rsidR="00F808FE" w:rsidRDefault="00F808FE" w:rsidP="00F808FE">
      <w:pPr>
        <w:pStyle w:val="ListParagraph"/>
        <w:numPr>
          <w:ilvl w:val="0"/>
          <w:numId w:val="33"/>
        </w:numPr>
        <w:rPr>
          <w:lang w:val="en-GB" w:eastAsia="zh-CN"/>
        </w:rPr>
      </w:pPr>
      <w:r>
        <w:rPr>
          <w:lang w:val="en-GB" w:eastAsia="zh-CN"/>
        </w:rPr>
        <w:t>PC5 based LPI and VLP operation</w:t>
      </w:r>
    </w:p>
    <w:p w14:paraId="4E7F536B" w14:textId="1F9D8565" w:rsidR="00F808FE" w:rsidRDefault="00F808FE" w:rsidP="00F808FE">
      <w:pPr>
        <w:pStyle w:val="ListParagraph"/>
        <w:numPr>
          <w:ilvl w:val="0"/>
          <w:numId w:val="33"/>
        </w:numPr>
        <w:rPr>
          <w:lang w:val="en-GB" w:eastAsia="zh-CN"/>
        </w:rPr>
      </w:pPr>
      <w:r>
        <w:rPr>
          <w:lang w:val="en-GB" w:eastAsia="zh-CN"/>
        </w:rPr>
        <w:t>Full and lowest interlace waveform (1RB/10 for 15kHz SCS, 1RB/5 for 30kHz SCS)</w:t>
      </w:r>
    </w:p>
    <w:p w14:paraId="73FF2E3B" w14:textId="53B38CAC" w:rsidR="00F808FE" w:rsidRPr="00F808FE" w:rsidRDefault="00F808FE" w:rsidP="00F808FE">
      <w:pPr>
        <w:pStyle w:val="ListParagraph"/>
        <w:numPr>
          <w:ilvl w:val="0"/>
          <w:numId w:val="33"/>
        </w:numPr>
        <w:rPr>
          <w:lang w:val="en-GB" w:eastAsia="zh-CN"/>
        </w:rPr>
      </w:pPr>
      <w:r>
        <w:rPr>
          <w:lang w:val="en-GB" w:eastAsia="zh-CN"/>
        </w:rPr>
        <w:t>Limitation due to EIRP or in-band PSD</w:t>
      </w:r>
      <w:r w:rsidR="00E67F10">
        <w:rPr>
          <w:lang w:val="en-GB" w:eastAsia="zh-CN"/>
        </w:rPr>
        <w:t>.</w:t>
      </w:r>
    </w:p>
    <w:p w14:paraId="37426533" w14:textId="77777777" w:rsidR="005A1B04" w:rsidRPr="00D72A83" w:rsidRDefault="003D05F0" w:rsidP="005A1B04">
      <w:pPr>
        <w:pStyle w:val="Caption"/>
        <w:keepNext/>
        <w:jc w:val="center"/>
        <w:rPr>
          <w:rFonts w:eastAsia="Yu Mincho"/>
          <w:lang w:val="en-CA" w:eastAsia="ja-JP"/>
        </w:rPr>
      </w:pPr>
      <w:r>
        <w:t xml:space="preserve">Table </w:t>
      </w:r>
      <w:r w:rsidR="00F04523">
        <w:fldChar w:fldCharType="begin"/>
      </w:r>
      <w:r w:rsidR="00F04523">
        <w:instrText xml:space="preserve"> SEQ Table \* ARABIC </w:instrText>
      </w:r>
      <w:r w:rsidR="00F04523">
        <w:fldChar w:fldCharType="separate"/>
      </w:r>
      <w:r w:rsidR="0044427A">
        <w:rPr>
          <w:noProof/>
        </w:rPr>
        <w:t>2</w:t>
      </w:r>
      <w:r w:rsidR="00F04523">
        <w:rPr>
          <w:noProof/>
        </w:rPr>
        <w:fldChar w:fldCharType="end"/>
      </w:r>
      <w:r>
        <w:t>: Calculations of A-MPR for PC5 UE in VLP mode for channels limited by either in band PSD or Peal EIRP</w:t>
      </w:r>
    </w:p>
    <w:tbl>
      <w:tblPr>
        <w:tblW w:w="9285" w:type="dxa"/>
        <w:jc w:val="center"/>
        <w:tblInd w:w="93" w:type="dxa"/>
        <w:tblLook w:val="04A0" w:firstRow="1" w:lastRow="0" w:firstColumn="1" w:lastColumn="0" w:noHBand="0" w:noVBand="1"/>
      </w:tblPr>
      <w:tblGrid>
        <w:gridCol w:w="567"/>
        <w:gridCol w:w="536"/>
        <w:gridCol w:w="560"/>
        <w:gridCol w:w="551"/>
        <w:gridCol w:w="844"/>
        <w:gridCol w:w="712"/>
        <w:gridCol w:w="835"/>
        <w:gridCol w:w="900"/>
        <w:gridCol w:w="540"/>
        <w:gridCol w:w="726"/>
        <w:gridCol w:w="714"/>
        <w:gridCol w:w="900"/>
        <w:gridCol w:w="900"/>
      </w:tblGrid>
      <w:tr w:rsidR="005A1B04" w:rsidRPr="005A1B04" w14:paraId="5F7A4B8D" w14:textId="77777777" w:rsidTr="0044427A">
        <w:trPr>
          <w:trHeight w:val="288"/>
          <w:jc w:val="center"/>
        </w:trPr>
        <w:tc>
          <w:tcPr>
            <w:tcW w:w="1663" w:type="dxa"/>
            <w:gridSpan w:val="3"/>
            <w:tcBorders>
              <w:top w:val="nil"/>
              <w:bottom w:val="single" w:sz="4" w:space="0" w:color="auto"/>
              <w:right w:val="single" w:sz="4" w:space="0" w:color="auto"/>
            </w:tcBorders>
            <w:shd w:val="clear" w:color="auto" w:fill="auto"/>
            <w:noWrap/>
            <w:vAlign w:val="bottom"/>
          </w:tcPr>
          <w:p w14:paraId="7B17C8F3" w14:textId="5E305A7C" w:rsidR="005A1B04" w:rsidRPr="005A1B04" w:rsidRDefault="005A1B04" w:rsidP="005A1B04">
            <w:pPr>
              <w:overflowPunct/>
              <w:autoSpaceDE/>
              <w:autoSpaceDN/>
              <w:adjustRightInd/>
              <w:spacing w:after="0"/>
              <w:jc w:val="right"/>
              <w:textAlignment w:val="auto"/>
              <w:rPr>
                <w:rFonts w:ascii="Calibri" w:hAnsi="Calibri"/>
                <w:color w:val="000000"/>
                <w:sz w:val="22"/>
                <w:szCs w:val="22"/>
              </w:rPr>
            </w:pPr>
          </w:p>
        </w:tc>
        <w:tc>
          <w:tcPr>
            <w:tcW w:w="3842" w:type="dxa"/>
            <w:gridSpan w:val="5"/>
            <w:tcBorders>
              <w:top w:val="single" w:sz="4" w:space="0" w:color="auto"/>
              <w:left w:val="nil"/>
              <w:bottom w:val="single" w:sz="4" w:space="0" w:color="auto"/>
              <w:right w:val="single" w:sz="4" w:space="0" w:color="auto"/>
            </w:tcBorders>
            <w:shd w:val="clear" w:color="auto" w:fill="auto"/>
            <w:noWrap/>
            <w:vAlign w:val="bottom"/>
            <w:hideMark/>
          </w:tcPr>
          <w:p w14:paraId="5A851866" w14:textId="77777777" w:rsidR="005A1B04" w:rsidRPr="005A1B04" w:rsidRDefault="005A1B04" w:rsidP="005A1B04">
            <w:pPr>
              <w:overflowPunct/>
              <w:autoSpaceDE/>
              <w:autoSpaceDN/>
              <w:adjustRightInd/>
              <w:spacing w:after="0"/>
              <w:jc w:val="center"/>
              <w:textAlignment w:val="auto"/>
              <w:rPr>
                <w:rFonts w:ascii="Calibri" w:hAnsi="Calibri"/>
                <w:color w:val="000000"/>
                <w:sz w:val="22"/>
                <w:szCs w:val="22"/>
              </w:rPr>
            </w:pPr>
            <w:r w:rsidRPr="005A1B04">
              <w:rPr>
                <w:rFonts w:ascii="Calibri" w:hAnsi="Calibri"/>
                <w:color w:val="000000"/>
                <w:sz w:val="22"/>
                <w:szCs w:val="22"/>
              </w:rPr>
              <w:t>Full allocation</w:t>
            </w:r>
          </w:p>
        </w:tc>
        <w:tc>
          <w:tcPr>
            <w:tcW w:w="3780" w:type="dxa"/>
            <w:gridSpan w:val="5"/>
            <w:tcBorders>
              <w:top w:val="single" w:sz="4" w:space="0" w:color="auto"/>
              <w:left w:val="nil"/>
              <w:bottom w:val="single" w:sz="4" w:space="0" w:color="auto"/>
              <w:right w:val="single" w:sz="4" w:space="0" w:color="auto"/>
            </w:tcBorders>
            <w:shd w:val="clear" w:color="auto" w:fill="auto"/>
            <w:noWrap/>
            <w:vAlign w:val="bottom"/>
            <w:hideMark/>
          </w:tcPr>
          <w:p w14:paraId="3F05E04A" w14:textId="77777777" w:rsidR="005A1B04" w:rsidRPr="005A1B04" w:rsidRDefault="005A1B04" w:rsidP="005A1B04">
            <w:pPr>
              <w:overflowPunct/>
              <w:autoSpaceDE/>
              <w:autoSpaceDN/>
              <w:adjustRightInd/>
              <w:spacing w:after="0"/>
              <w:jc w:val="center"/>
              <w:textAlignment w:val="auto"/>
              <w:rPr>
                <w:rFonts w:ascii="Calibri" w:hAnsi="Calibri"/>
                <w:color w:val="000000"/>
                <w:sz w:val="22"/>
                <w:szCs w:val="22"/>
              </w:rPr>
            </w:pPr>
            <w:r w:rsidRPr="005A1B04">
              <w:rPr>
                <w:rFonts w:ascii="Calibri" w:hAnsi="Calibri"/>
                <w:color w:val="000000"/>
                <w:sz w:val="22"/>
                <w:szCs w:val="22"/>
              </w:rPr>
              <w:t>Interlace allocation</w:t>
            </w:r>
          </w:p>
        </w:tc>
      </w:tr>
      <w:tr w:rsidR="005A1B04" w:rsidRPr="005A1B04" w14:paraId="73F3EC76" w14:textId="77777777" w:rsidTr="0044427A">
        <w:trPr>
          <w:trHeight w:val="125"/>
          <w:jc w:val="center"/>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1B143CD"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BW</w:t>
            </w:r>
          </w:p>
        </w:tc>
        <w:tc>
          <w:tcPr>
            <w:tcW w:w="536" w:type="dxa"/>
            <w:tcBorders>
              <w:top w:val="nil"/>
              <w:left w:val="nil"/>
              <w:bottom w:val="nil"/>
              <w:right w:val="nil"/>
            </w:tcBorders>
            <w:shd w:val="clear" w:color="auto" w:fill="auto"/>
            <w:noWrap/>
            <w:vAlign w:val="bottom"/>
            <w:hideMark/>
          </w:tcPr>
          <w:p w14:paraId="3882F8AC"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SCS</w:t>
            </w: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8AB93A"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WF</w:t>
            </w:r>
          </w:p>
        </w:tc>
        <w:tc>
          <w:tcPr>
            <w:tcW w:w="551" w:type="dxa"/>
            <w:tcBorders>
              <w:top w:val="nil"/>
              <w:left w:val="nil"/>
              <w:bottom w:val="single" w:sz="4" w:space="0" w:color="auto"/>
              <w:right w:val="single" w:sz="4" w:space="0" w:color="auto"/>
            </w:tcBorders>
            <w:shd w:val="clear" w:color="auto" w:fill="auto"/>
            <w:noWrap/>
            <w:vAlign w:val="bottom"/>
            <w:hideMark/>
          </w:tcPr>
          <w:p w14:paraId="4BF09846"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RB</w:t>
            </w:r>
          </w:p>
        </w:tc>
        <w:tc>
          <w:tcPr>
            <w:tcW w:w="844" w:type="dxa"/>
            <w:tcBorders>
              <w:top w:val="nil"/>
              <w:left w:val="nil"/>
              <w:bottom w:val="single" w:sz="4" w:space="0" w:color="auto"/>
              <w:right w:val="single" w:sz="4" w:space="0" w:color="auto"/>
            </w:tcBorders>
            <w:shd w:val="clear" w:color="auto" w:fill="auto"/>
            <w:noWrap/>
            <w:vAlign w:val="bottom"/>
            <w:hideMark/>
          </w:tcPr>
          <w:p w14:paraId="680E83BA"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proofErr w:type="spellStart"/>
            <w:r w:rsidRPr="005A1B04">
              <w:rPr>
                <w:rFonts w:ascii="Calibri" w:hAnsi="Calibri"/>
                <w:color w:val="000000"/>
                <w:sz w:val="22"/>
                <w:szCs w:val="22"/>
              </w:rPr>
              <w:t>LogBW</w:t>
            </w:r>
            <w:proofErr w:type="spellEnd"/>
          </w:p>
        </w:tc>
        <w:tc>
          <w:tcPr>
            <w:tcW w:w="712" w:type="dxa"/>
            <w:tcBorders>
              <w:top w:val="nil"/>
              <w:left w:val="nil"/>
              <w:bottom w:val="single" w:sz="4" w:space="0" w:color="auto"/>
              <w:right w:val="single" w:sz="4" w:space="0" w:color="auto"/>
            </w:tcBorders>
            <w:shd w:val="clear" w:color="auto" w:fill="auto"/>
            <w:vAlign w:val="bottom"/>
            <w:hideMark/>
          </w:tcPr>
          <w:p w14:paraId="0FE06FA8"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proofErr w:type="spellStart"/>
            <w:r w:rsidRPr="005A1B04">
              <w:rPr>
                <w:rFonts w:ascii="Calibri" w:hAnsi="Calibri"/>
                <w:color w:val="000000"/>
                <w:sz w:val="22"/>
                <w:szCs w:val="22"/>
              </w:rPr>
              <w:t>dBm</w:t>
            </w:r>
            <w:proofErr w:type="spellEnd"/>
            <w:r w:rsidRPr="005A1B04">
              <w:rPr>
                <w:rFonts w:ascii="Calibri" w:hAnsi="Calibri"/>
                <w:color w:val="000000"/>
                <w:sz w:val="22"/>
                <w:szCs w:val="22"/>
              </w:rPr>
              <w:t>/</w:t>
            </w:r>
            <w:r w:rsidRPr="005A1B04">
              <w:rPr>
                <w:rFonts w:ascii="Calibri" w:hAnsi="Calibri"/>
                <w:color w:val="000000"/>
                <w:sz w:val="22"/>
                <w:szCs w:val="22"/>
              </w:rPr>
              <w:br/>
              <w:t>MHz</w:t>
            </w:r>
          </w:p>
        </w:tc>
        <w:tc>
          <w:tcPr>
            <w:tcW w:w="835" w:type="dxa"/>
            <w:tcBorders>
              <w:top w:val="nil"/>
              <w:left w:val="nil"/>
              <w:bottom w:val="single" w:sz="4" w:space="0" w:color="auto"/>
              <w:right w:val="single" w:sz="4" w:space="0" w:color="auto"/>
            </w:tcBorders>
            <w:shd w:val="clear" w:color="auto" w:fill="auto"/>
            <w:vAlign w:val="bottom"/>
          </w:tcPr>
          <w:p w14:paraId="145AB0BA"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A-MPR</w:t>
            </w:r>
            <w:r w:rsidRPr="005A1B04">
              <w:rPr>
                <w:rFonts w:ascii="Calibri" w:hAnsi="Calibri"/>
                <w:color w:val="000000"/>
                <w:sz w:val="22"/>
                <w:szCs w:val="22"/>
              </w:rPr>
              <w:br/>
              <w:t>LPI</w:t>
            </w:r>
          </w:p>
        </w:tc>
        <w:tc>
          <w:tcPr>
            <w:tcW w:w="900" w:type="dxa"/>
            <w:tcBorders>
              <w:top w:val="nil"/>
              <w:left w:val="nil"/>
              <w:bottom w:val="single" w:sz="4" w:space="0" w:color="auto"/>
              <w:right w:val="single" w:sz="4" w:space="0" w:color="auto"/>
            </w:tcBorders>
            <w:shd w:val="clear" w:color="auto" w:fill="auto"/>
            <w:vAlign w:val="bottom"/>
            <w:hideMark/>
          </w:tcPr>
          <w:p w14:paraId="763A7A34"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A-MPR</w:t>
            </w:r>
            <w:r w:rsidRPr="005A1B04">
              <w:rPr>
                <w:rFonts w:ascii="Calibri" w:hAnsi="Calibri"/>
                <w:color w:val="000000"/>
                <w:sz w:val="22"/>
                <w:szCs w:val="22"/>
              </w:rPr>
              <w:br/>
              <w:t>VLP</w:t>
            </w:r>
          </w:p>
        </w:tc>
        <w:tc>
          <w:tcPr>
            <w:tcW w:w="540" w:type="dxa"/>
            <w:tcBorders>
              <w:top w:val="nil"/>
              <w:left w:val="nil"/>
              <w:bottom w:val="single" w:sz="4" w:space="0" w:color="auto"/>
              <w:right w:val="single" w:sz="4" w:space="0" w:color="auto"/>
            </w:tcBorders>
            <w:shd w:val="clear" w:color="auto" w:fill="auto"/>
            <w:noWrap/>
            <w:vAlign w:val="bottom"/>
            <w:hideMark/>
          </w:tcPr>
          <w:p w14:paraId="3C6F044B"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RB</w:t>
            </w:r>
          </w:p>
        </w:tc>
        <w:tc>
          <w:tcPr>
            <w:tcW w:w="726" w:type="dxa"/>
            <w:tcBorders>
              <w:top w:val="nil"/>
              <w:left w:val="nil"/>
              <w:bottom w:val="single" w:sz="4" w:space="0" w:color="auto"/>
              <w:right w:val="single" w:sz="4" w:space="0" w:color="auto"/>
            </w:tcBorders>
            <w:shd w:val="clear" w:color="auto" w:fill="auto"/>
            <w:noWrap/>
            <w:vAlign w:val="bottom"/>
            <w:hideMark/>
          </w:tcPr>
          <w:p w14:paraId="0A047E33"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proofErr w:type="spellStart"/>
            <w:r w:rsidRPr="005A1B04">
              <w:rPr>
                <w:rFonts w:ascii="Calibri" w:hAnsi="Calibri"/>
                <w:color w:val="000000"/>
                <w:sz w:val="22"/>
                <w:szCs w:val="22"/>
              </w:rPr>
              <w:t>logRB</w:t>
            </w:r>
            <w:proofErr w:type="spellEnd"/>
          </w:p>
        </w:tc>
        <w:tc>
          <w:tcPr>
            <w:tcW w:w="714" w:type="dxa"/>
            <w:tcBorders>
              <w:top w:val="nil"/>
              <w:left w:val="nil"/>
              <w:bottom w:val="single" w:sz="4" w:space="0" w:color="auto"/>
              <w:right w:val="single" w:sz="4" w:space="0" w:color="auto"/>
            </w:tcBorders>
            <w:shd w:val="clear" w:color="auto" w:fill="auto"/>
            <w:vAlign w:val="bottom"/>
            <w:hideMark/>
          </w:tcPr>
          <w:p w14:paraId="696A32E8"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proofErr w:type="spellStart"/>
            <w:r w:rsidRPr="005A1B04">
              <w:rPr>
                <w:rFonts w:ascii="Calibri" w:hAnsi="Calibri"/>
                <w:color w:val="000000"/>
                <w:sz w:val="22"/>
                <w:szCs w:val="22"/>
              </w:rPr>
              <w:t>dBm</w:t>
            </w:r>
            <w:proofErr w:type="spellEnd"/>
            <w:r w:rsidRPr="005A1B04">
              <w:rPr>
                <w:rFonts w:ascii="Calibri" w:hAnsi="Calibri"/>
                <w:color w:val="000000"/>
                <w:sz w:val="22"/>
                <w:szCs w:val="22"/>
              </w:rPr>
              <w:t>/</w:t>
            </w:r>
            <w:r w:rsidRPr="005A1B04">
              <w:rPr>
                <w:rFonts w:ascii="Calibri" w:hAnsi="Calibri"/>
                <w:color w:val="000000"/>
                <w:sz w:val="22"/>
                <w:szCs w:val="22"/>
              </w:rPr>
              <w:br/>
              <w:t>MHz</w:t>
            </w:r>
          </w:p>
        </w:tc>
        <w:tc>
          <w:tcPr>
            <w:tcW w:w="900" w:type="dxa"/>
            <w:tcBorders>
              <w:top w:val="nil"/>
              <w:left w:val="nil"/>
              <w:bottom w:val="single" w:sz="4" w:space="0" w:color="auto"/>
              <w:right w:val="single" w:sz="4" w:space="0" w:color="auto"/>
            </w:tcBorders>
            <w:shd w:val="clear" w:color="auto" w:fill="auto"/>
            <w:vAlign w:val="bottom"/>
          </w:tcPr>
          <w:p w14:paraId="08C94028"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A-MPR</w:t>
            </w:r>
            <w:r w:rsidRPr="005A1B04">
              <w:rPr>
                <w:rFonts w:ascii="Calibri" w:hAnsi="Calibri"/>
                <w:color w:val="000000"/>
                <w:sz w:val="22"/>
                <w:szCs w:val="22"/>
              </w:rPr>
              <w:br/>
              <w:t>LPI</w:t>
            </w:r>
          </w:p>
        </w:tc>
        <w:tc>
          <w:tcPr>
            <w:tcW w:w="900" w:type="dxa"/>
            <w:tcBorders>
              <w:top w:val="nil"/>
              <w:left w:val="nil"/>
              <w:bottom w:val="single" w:sz="4" w:space="0" w:color="auto"/>
              <w:right w:val="single" w:sz="4" w:space="0" w:color="auto"/>
            </w:tcBorders>
            <w:shd w:val="clear" w:color="auto" w:fill="auto"/>
            <w:vAlign w:val="bottom"/>
            <w:hideMark/>
          </w:tcPr>
          <w:p w14:paraId="2BAF0231" w14:textId="77777777" w:rsidR="005A1B04" w:rsidRPr="005A1B04" w:rsidRDefault="005A1B04" w:rsidP="005A1B04">
            <w:pPr>
              <w:overflowPunct/>
              <w:autoSpaceDE/>
              <w:autoSpaceDN/>
              <w:adjustRightInd/>
              <w:spacing w:after="0"/>
              <w:textAlignment w:val="auto"/>
              <w:rPr>
                <w:rFonts w:ascii="Calibri" w:hAnsi="Calibri"/>
                <w:color w:val="000000"/>
                <w:sz w:val="22"/>
                <w:szCs w:val="22"/>
              </w:rPr>
            </w:pPr>
            <w:r w:rsidRPr="005A1B04">
              <w:rPr>
                <w:rFonts w:ascii="Calibri" w:hAnsi="Calibri"/>
                <w:color w:val="000000"/>
                <w:sz w:val="22"/>
                <w:szCs w:val="22"/>
              </w:rPr>
              <w:t>A-MPR</w:t>
            </w:r>
            <w:r w:rsidRPr="005A1B04">
              <w:rPr>
                <w:rFonts w:ascii="Calibri" w:hAnsi="Calibri"/>
                <w:color w:val="000000"/>
                <w:sz w:val="22"/>
                <w:szCs w:val="22"/>
              </w:rPr>
              <w:br/>
              <w:t>VLP</w:t>
            </w:r>
          </w:p>
        </w:tc>
      </w:tr>
      <w:tr w:rsidR="005A1B04" w:rsidRPr="005A1B04" w14:paraId="2317BECF" w14:textId="77777777" w:rsidTr="0044427A">
        <w:trPr>
          <w:trHeight w:val="70"/>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0A9ECF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20</w:t>
            </w:r>
          </w:p>
        </w:tc>
        <w:tc>
          <w:tcPr>
            <w:tcW w:w="536" w:type="dxa"/>
            <w:tcBorders>
              <w:top w:val="single" w:sz="4" w:space="0" w:color="auto"/>
              <w:left w:val="nil"/>
              <w:bottom w:val="single" w:sz="4" w:space="0" w:color="auto"/>
              <w:right w:val="single" w:sz="4" w:space="0" w:color="auto"/>
            </w:tcBorders>
            <w:shd w:val="clear" w:color="auto" w:fill="auto"/>
            <w:hideMark/>
          </w:tcPr>
          <w:p w14:paraId="11F3DE8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15</w:t>
            </w:r>
          </w:p>
        </w:tc>
        <w:tc>
          <w:tcPr>
            <w:tcW w:w="560" w:type="dxa"/>
            <w:tcBorders>
              <w:top w:val="single" w:sz="4" w:space="0" w:color="auto"/>
              <w:left w:val="nil"/>
              <w:bottom w:val="single" w:sz="4" w:space="0" w:color="auto"/>
              <w:right w:val="single" w:sz="4" w:space="0" w:color="auto"/>
            </w:tcBorders>
            <w:shd w:val="clear" w:color="auto" w:fill="auto"/>
            <w:hideMark/>
          </w:tcPr>
          <w:p w14:paraId="53AD8A82"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DFT</w:t>
            </w:r>
          </w:p>
        </w:tc>
        <w:tc>
          <w:tcPr>
            <w:tcW w:w="551" w:type="dxa"/>
            <w:tcBorders>
              <w:top w:val="single" w:sz="4" w:space="0" w:color="auto"/>
              <w:left w:val="nil"/>
              <w:bottom w:val="single" w:sz="4" w:space="0" w:color="auto"/>
              <w:right w:val="single" w:sz="4" w:space="0" w:color="auto"/>
            </w:tcBorders>
            <w:shd w:val="clear" w:color="auto" w:fill="auto"/>
            <w:hideMark/>
          </w:tcPr>
          <w:p w14:paraId="43A786EA"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100</w:t>
            </w:r>
          </w:p>
        </w:tc>
        <w:tc>
          <w:tcPr>
            <w:tcW w:w="844" w:type="dxa"/>
            <w:tcBorders>
              <w:top w:val="single" w:sz="4" w:space="0" w:color="auto"/>
              <w:left w:val="nil"/>
              <w:bottom w:val="single" w:sz="4" w:space="0" w:color="auto"/>
              <w:right w:val="single" w:sz="4" w:space="0" w:color="auto"/>
            </w:tcBorders>
            <w:shd w:val="clear" w:color="auto" w:fill="auto"/>
            <w:hideMark/>
          </w:tcPr>
          <w:p w14:paraId="0CEF8D8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12.6</w:t>
            </w:r>
          </w:p>
        </w:tc>
        <w:tc>
          <w:tcPr>
            <w:tcW w:w="712" w:type="dxa"/>
            <w:tcBorders>
              <w:top w:val="single" w:sz="4" w:space="0" w:color="auto"/>
              <w:left w:val="nil"/>
              <w:bottom w:val="single" w:sz="4" w:space="0" w:color="auto"/>
              <w:right w:val="single" w:sz="4" w:space="0" w:color="auto"/>
            </w:tcBorders>
            <w:shd w:val="clear" w:color="auto" w:fill="auto"/>
            <w:hideMark/>
          </w:tcPr>
          <w:p w14:paraId="5D15820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7.4</w:t>
            </w:r>
          </w:p>
        </w:tc>
        <w:tc>
          <w:tcPr>
            <w:tcW w:w="835" w:type="dxa"/>
            <w:tcBorders>
              <w:top w:val="single" w:sz="4" w:space="0" w:color="auto"/>
              <w:left w:val="nil"/>
              <w:bottom w:val="single" w:sz="4" w:space="0" w:color="auto"/>
              <w:right w:val="single" w:sz="4" w:space="0" w:color="auto"/>
            </w:tcBorders>
            <w:shd w:val="clear" w:color="auto" w:fill="auto"/>
          </w:tcPr>
          <w:p w14:paraId="7B1C713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5.5</w:t>
            </w:r>
          </w:p>
        </w:tc>
        <w:tc>
          <w:tcPr>
            <w:tcW w:w="900" w:type="dxa"/>
            <w:tcBorders>
              <w:top w:val="single" w:sz="4" w:space="0" w:color="auto"/>
              <w:left w:val="nil"/>
              <w:bottom w:val="single" w:sz="4" w:space="0" w:color="auto"/>
              <w:right w:val="single" w:sz="4" w:space="0" w:color="auto"/>
            </w:tcBorders>
            <w:shd w:val="clear" w:color="auto" w:fill="auto"/>
            <w:hideMark/>
          </w:tcPr>
          <w:p w14:paraId="0D305E2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6.5</w:t>
            </w:r>
          </w:p>
        </w:tc>
        <w:tc>
          <w:tcPr>
            <w:tcW w:w="540" w:type="dxa"/>
            <w:tcBorders>
              <w:top w:val="nil"/>
              <w:left w:val="nil"/>
              <w:bottom w:val="single" w:sz="4" w:space="0" w:color="auto"/>
              <w:right w:val="single" w:sz="4" w:space="0" w:color="auto"/>
            </w:tcBorders>
            <w:shd w:val="clear" w:color="auto" w:fill="auto"/>
            <w:hideMark/>
          </w:tcPr>
          <w:p w14:paraId="13985B0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10</w:t>
            </w:r>
          </w:p>
        </w:tc>
        <w:tc>
          <w:tcPr>
            <w:tcW w:w="726" w:type="dxa"/>
            <w:tcBorders>
              <w:top w:val="single" w:sz="4" w:space="0" w:color="auto"/>
              <w:left w:val="nil"/>
              <w:bottom w:val="single" w:sz="4" w:space="0" w:color="auto"/>
              <w:right w:val="single" w:sz="4" w:space="0" w:color="auto"/>
            </w:tcBorders>
            <w:shd w:val="clear" w:color="auto" w:fill="auto"/>
            <w:hideMark/>
          </w:tcPr>
          <w:p w14:paraId="56E8EE1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10</w:t>
            </w:r>
          </w:p>
        </w:tc>
        <w:tc>
          <w:tcPr>
            <w:tcW w:w="714" w:type="dxa"/>
            <w:tcBorders>
              <w:top w:val="nil"/>
              <w:left w:val="nil"/>
              <w:bottom w:val="single" w:sz="4" w:space="0" w:color="auto"/>
              <w:right w:val="single" w:sz="4" w:space="0" w:color="auto"/>
            </w:tcBorders>
            <w:shd w:val="clear" w:color="auto" w:fill="auto"/>
            <w:hideMark/>
          </w:tcPr>
          <w:p w14:paraId="4103AED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10</w:t>
            </w:r>
          </w:p>
        </w:tc>
        <w:tc>
          <w:tcPr>
            <w:tcW w:w="900" w:type="dxa"/>
            <w:tcBorders>
              <w:top w:val="single" w:sz="4" w:space="0" w:color="auto"/>
              <w:left w:val="nil"/>
              <w:bottom w:val="single" w:sz="4" w:space="0" w:color="auto"/>
              <w:right w:val="single" w:sz="4" w:space="0" w:color="auto"/>
            </w:tcBorders>
            <w:shd w:val="clear" w:color="auto" w:fill="auto"/>
          </w:tcPr>
          <w:p w14:paraId="204A32D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8</w:t>
            </w:r>
          </w:p>
        </w:tc>
        <w:tc>
          <w:tcPr>
            <w:tcW w:w="900" w:type="dxa"/>
            <w:tcBorders>
              <w:top w:val="single" w:sz="4" w:space="0" w:color="auto"/>
              <w:left w:val="nil"/>
              <w:bottom w:val="single" w:sz="4" w:space="0" w:color="auto"/>
              <w:right w:val="single" w:sz="4" w:space="0" w:color="auto"/>
            </w:tcBorders>
            <w:shd w:val="clear" w:color="auto" w:fill="auto"/>
            <w:hideMark/>
          </w:tcPr>
          <w:p w14:paraId="598D76E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9</w:t>
            </w:r>
          </w:p>
        </w:tc>
      </w:tr>
      <w:tr w:rsidR="005A1B04" w:rsidRPr="005A1B04" w14:paraId="3C453928"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60FFCFD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20</w:t>
            </w:r>
          </w:p>
        </w:tc>
        <w:tc>
          <w:tcPr>
            <w:tcW w:w="536" w:type="dxa"/>
            <w:tcBorders>
              <w:top w:val="nil"/>
              <w:left w:val="nil"/>
              <w:bottom w:val="single" w:sz="4" w:space="0" w:color="auto"/>
              <w:right w:val="single" w:sz="4" w:space="0" w:color="auto"/>
            </w:tcBorders>
            <w:shd w:val="clear" w:color="auto" w:fill="auto"/>
            <w:hideMark/>
          </w:tcPr>
          <w:p w14:paraId="50D506E7"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15</w:t>
            </w:r>
          </w:p>
        </w:tc>
        <w:tc>
          <w:tcPr>
            <w:tcW w:w="560" w:type="dxa"/>
            <w:tcBorders>
              <w:top w:val="nil"/>
              <w:left w:val="nil"/>
              <w:bottom w:val="single" w:sz="4" w:space="0" w:color="auto"/>
              <w:right w:val="single" w:sz="4" w:space="0" w:color="auto"/>
            </w:tcBorders>
            <w:shd w:val="clear" w:color="auto" w:fill="auto"/>
            <w:hideMark/>
          </w:tcPr>
          <w:p w14:paraId="1776B4A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CP</w:t>
            </w:r>
          </w:p>
        </w:tc>
        <w:tc>
          <w:tcPr>
            <w:tcW w:w="551" w:type="dxa"/>
            <w:tcBorders>
              <w:top w:val="nil"/>
              <w:left w:val="nil"/>
              <w:bottom w:val="single" w:sz="4" w:space="0" w:color="auto"/>
              <w:right w:val="single" w:sz="4" w:space="0" w:color="auto"/>
            </w:tcBorders>
            <w:shd w:val="clear" w:color="auto" w:fill="auto"/>
            <w:hideMark/>
          </w:tcPr>
          <w:p w14:paraId="3FFDDB6A"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106</w:t>
            </w:r>
          </w:p>
        </w:tc>
        <w:tc>
          <w:tcPr>
            <w:tcW w:w="844" w:type="dxa"/>
            <w:tcBorders>
              <w:top w:val="nil"/>
              <w:left w:val="nil"/>
              <w:bottom w:val="single" w:sz="4" w:space="0" w:color="auto"/>
              <w:right w:val="single" w:sz="4" w:space="0" w:color="auto"/>
            </w:tcBorders>
            <w:shd w:val="clear" w:color="auto" w:fill="auto"/>
            <w:hideMark/>
          </w:tcPr>
          <w:p w14:paraId="08D73C7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12.8</w:t>
            </w:r>
          </w:p>
        </w:tc>
        <w:tc>
          <w:tcPr>
            <w:tcW w:w="712" w:type="dxa"/>
            <w:tcBorders>
              <w:top w:val="nil"/>
              <w:left w:val="nil"/>
              <w:bottom w:val="single" w:sz="4" w:space="0" w:color="auto"/>
              <w:right w:val="single" w:sz="4" w:space="0" w:color="auto"/>
            </w:tcBorders>
            <w:shd w:val="clear" w:color="auto" w:fill="auto"/>
            <w:hideMark/>
          </w:tcPr>
          <w:p w14:paraId="443660B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7.2</w:t>
            </w:r>
          </w:p>
        </w:tc>
        <w:tc>
          <w:tcPr>
            <w:tcW w:w="835" w:type="dxa"/>
            <w:tcBorders>
              <w:top w:val="nil"/>
              <w:left w:val="nil"/>
              <w:bottom w:val="single" w:sz="4" w:space="0" w:color="auto"/>
              <w:right w:val="single" w:sz="4" w:space="0" w:color="auto"/>
            </w:tcBorders>
            <w:shd w:val="clear" w:color="auto" w:fill="auto"/>
          </w:tcPr>
          <w:p w14:paraId="6B47E3F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5.5</w:t>
            </w:r>
          </w:p>
        </w:tc>
        <w:tc>
          <w:tcPr>
            <w:tcW w:w="900" w:type="dxa"/>
            <w:tcBorders>
              <w:top w:val="nil"/>
              <w:left w:val="nil"/>
              <w:bottom w:val="single" w:sz="4" w:space="0" w:color="auto"/>
              <w:right w:val="single" w:sz="4" w:space="0" w:color="auto"/>
            </w:tcBorders>
            <w:shd w:val="clear" w:color="auto" w:fill="auto"/>
            <w:hideMark/>
          </w:tcPr>
          <w:p w14:paraId="4002370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6.5</w:t>
            </w:r>
          </w:p>
        </w:tc>
        <w:tc>
          <w:tcPr>
            <w:tcW w:w="540" w:type="dxa"/>
            <w:tcBorders>
              <w:top w:val="nil"/>
              <w:left w:val="nil"/>
              <w:bottom w:val="single" w:sz="4" w:space="0" w:color="auto"/>
              <w:right w:val="single" w:sz="4" w:space="0" w:color="auto"/>
            </w:tcBorders>
            <w:shd w:val="clear" w:color="auto" w:fill="auto"/>
            <w:hideMark/>
          </w:tcPr>
          <w:p w14:paraId="3004EFF7"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11</w:t>
            </w:r>
          </w:p>
        </w:tc>
        <w:tc>
          <w:tcPr>
            <w:tcW w:w="726" w:type="dxa"/>
            <w:tcBorders>
              <w:top w:val="nil"/>
              <w:left w:val="nil"/>
              <w:bottom w:val="single" w:sz="4" w:space="0" w:color="auto"/>
              <w:right w:val="single" w:sz="4" w:space="0" w:color="auto"/>
            </w:tcBorders>
            <w:shd w:val="clear" w:color="auto" w:fill="auto"/>
            <w:hideMark/>
          </w:tcPr>
          <w:p w14:paraId="48769EF6"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10.4</w:t>
            </w:r>
          </w:p>
        </w:tc>
        <w:tc>
          <w:tcPr>
            <w:tcW w:w="714" w:type="dxa"/>
            <w:tcBorders>
              <w:top w:val="nil"/>
              <w:left w:val="nil"/>
              <w:bottom w:val="single" w:sz="4" w:space="0" w:color="auto"/>
              <w:right w:val="single" w:sz="4" w:space="0" w:color="auto"/>
            </w:tcBorders>
            <w:shd w:val="clear" w:color="auto" w:fill="auto"/>
            <w:hideMark/>
          </w:tcPr>
          <w:p w14:paraId="09BD211B"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9.6</w:t>
            </w:r>
          </w:p>
        </w:tc>
        <w:tc>
          <w:tcPr>
            <w:tcW w:w="900" w:type="dxa"/>
            <w:tcBorders>
              <w:top w:val="nil"/>
              <w:left w:val="nil"/>
              <w:bottom w:val="single" w:sz="4" w:space="0" w:color="auto"/>
              <w:right w:val="single" w:sz="4" w:space="0" w:color="auto"/>
            </w:tcBorders>
            <w:shd w:val="clear" w:color="auto" w:fill="auto"/>
          </w:tcPr>
          <w:p w14:paraId="53B91EC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8</w:t>
            </w:r>
          </w:p>
        </w:tc>
        <w:tc>
          <w:tcPr>
            <w:tcW w:w="900" w:type="dxa"/>
            <w:tcBorders>
              <w:top w:val="nil"/>
              <w:left w:val="nil"/>
              <w:bottom w:val="single" w:sz="4" w:space="0" w:color="auto"/>
              <w:right w:val="single" w:sz="4" w:space="0" w:color="auto"/>
            </w:tcBorders>
            <w:shd w:val="clear" w:color="auto" w:fill="auto"/>
            <w:hideMark/>
          </w:tcPr>
          <w:p w14:paraId="7FDF802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9</w:t>
            </w:r>
          </w:p>
        </w:tc>
      </w:tr>
      <w:tr w:rsidR="005A1B04" w:rsidRPr="005A1B04" w14:paraId="225AAF3B"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46AE824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40</w:t>
            </w:r>
          </w:p>
        </w:tc>
        <w:tc>
          <w:tcPr>
            <w:tcW w:w="536" w:type="dxa"/>
            <w:tcBorders>
              <w:top w:val="nil"/>
              <w:left w:val="nil"/>
              <w:bottom w:val="single" w:sz="4" w:space="0" w:color="auto"/>
              <w:right w:val="single" w:sz="4" w:space="0" w:color="auto"/>
            </w:tcBorders>
            <w:shd w:val="clear" w:color="auto" w:fill="auto"/>
            <w:hideMark/>
          </w:tcPr>
          <w:p w14:paraId="2FC8DA5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15</w:t>
            </w:r>
          </w:p>
        </w:tc>
        <w:tc>
          <w:tcPr>
            <w:tcW w:w="560" w:type="dxa"/>
            <w:tcBorders>
              <w:top w:val="nil"/>
              <w:left w:val="nil"/>
              <w:bottom w:val="single" w:sz="4" w:space="0" w:color="auto"/>
              <w:right w:val="single" w:sz="4" w:space="0" w:color="auto"/>
            </w:tcBorders>
            <w:shd w:val="clear" w:color="auto" w:fill="auto"/>
            <w:hideMark/>
          </w:tcPr>
          <w:p w14:paraId="476C77A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DFT</w:t>
            </w:r>
          </w:p>
        </w:tc>
        <w:tc>
          <w:tcPr>
            <w:tcW w:w="551" w:type="dxa"/>
            <w:tcBorders>
              <w:top w:val="nil"/>
              <w:left w:val="nil"/>
              <w:bottom w:val="single" w:sz="4" w:space="0" w:color="auto"/>
              <w:right w:val="single" w:sz="4" w:space="0" w:color="auto"/>
            </w:tcBorders>
            <w:shd w:val="clear" w:color="auto" w:fill="auto"/>
            <w:hideMark/>
          </w:tcPr>
          <w:p w14:paraId="2736D87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216</w:t>
            </w:r>
          </w:p>
        </w:tc>
        <w:tc>
          <w:tcPr>
            <w:tcW w:w="844" w:type="dxa"/>
            <w:tcBorders>
              <w:top w:val="nil"/>
              <w:left w:val="nil"/>
              <w:bottom w:val="single" w:sz="4" w:space="0" w:color="auto"/>
              <w:right w:val="single" w:sz="4" w:space="0" w:color="auto"/>
            </w:tcBorders>
            <w:shd w:val="clear" w:color="auto" w:fill="auto"/>
            <w:hideMark/>
          </w:tcPr>
          <w:p w14:paraId="7E1A6FA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15.9</w:t>
            </w:r>
          </w:p>
        </w:tc>
        <w:tc>
          <w:tcPr>
            <w:tcW w:w="712" w:type="dxa"/>
            <w:tcBorders>
              <w:top w:val="nil"/>
              <w:left w:val="nil"/>
              <w:bottom w:val="single" w:sz="4" w:space="0" w:color="auto"/>
              <w:right w:val="single" w:sz="4" w:space="0" w:color="auto"/>
            </w:tcBorders>
            <w:shd w:val="clear" w:color="auto" w:fill="auto"/>
            <w:hideMark/>
          </w:tcPr>
          <w:p w14:paraId="5739EBC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4.1</w:t>
            </w:r>
          </w:p>
        </w:tc>
        <w:tc>
          <w:tcPr>
            <w:tcW w:w="835" w:type="dxa"/>
            <w:tcBorders>
              <w:top w:val="nil"/>
              <w:left w:val="nil"/>
              <w:bottom w:val="single" w:sz="4" w:space="0" w:color="auto"/>
              <w:right w:val="single" w:sz="4" w:space="0" w:color="auto"/>
            </w:tcBorders>
            <w:shd w:val="clear" w:color="auto" w:fill="auto"/>
          </w:tcPr>
          <w:p w14:paraId="0557DE5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2.5</w:t>
            </w:r>
          </w:p>
        </w:tc>
        <w:tc>
          <w:tcPr>
            <w:tcW w:w="900" w:type="dxa"/>
            <w:tcBorders>
              <w:top w:val="nil"/>
              <w:left w:val="nil"/>
              <w:bottom w:val="single" w:sz="4" w:space="0" w:color="auto"/>
              <w:right w:val="single" w:sz="4" w:space="0" w:color="auto"/>
            </w:tcBorders>
            <w:shd w:val="clear" w:color="auto" w:fill="auto"/>
            <w:hideMark/>
          </w:tcPr>
          <w:p w14:paraId="16F8CEE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c>
          <w:tcPr>
            <w:tcW w:w="540" w:type="dxa"/>
            <w:tcBorders>
              <w:top w:val="nil"/>
              <w:left w:val="nil"/>
              <w:bottom w:val="single" w:sz="4" w:space="0" w:color="auto"/>
              <w:right w:val="single" w:sz="4" w:space="0" w:color="auto"/>
            </w:tcBorders>
            <w:shd w:val="clear" w:color="auto" w:fill="auto"/>
            <w:hideMark/>
          </w:tcPr>
          <w:p w14:paraId="62252E1B"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20</w:t>
            </w:r>
          </w:p>
        </w:tc>
        <w:tc>
          <w:tcPr>
            <w:tcW w:w="726" w:type="dxa"/>
            <w:tcBorders>
              <w:top w:val="nil"/>
              <w:left w:val="nil"/>
              <w:bottom w:val="single" w:sz="4" w:space="0" w:color="auto"/>
              <w:right w:val="single" w:sz="4" w:space="0" w:color="auto"/>
            </w:tcBorders>
            <w:shd w:val="clear" w:color="auto" w:fill="auto"/>
            <w:hideMark/>
          </w:tcPr>
          <w:p w14:paraId="4766ADA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13</w:t>
            </w:r>
          </w:p>
        </w:tc>
        <w:tc>
          <w:tcPr>
            <w:tcW w:w="714" w:type="dxa"/>
            <w:tcBorders>
              <w:top w:val="nil"/>
              <w:left w:val="nil"/>
              <w:bottom w:val="single" w:sz="4" w:space="0" w:color="auto"/>
              <w:right w:val="single" w:sz="4" w:space="0" w:color="auto"/>
            </w:tcBorders>
            <w:shd w:val="clear" w:color="auto" w:fill="auto"/>
            <w:hideMark/>
          </w:tcPr>
          <w:p w14:paraId="491FE1F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7</w:t>
            </w:r>
          </w:p>
        </w:tc>
        <w:tc>
          <w:tcPr>
            <w:tcW w:w="900" w:type="dxa"/>
            <w:tcBorders>
              <w:top w:val="nil"/>
              <w:left w:val="nil"/>
              <w:bottom w:val="single" w:sz="4" w:space="0" w:color="auto"/>
              <w:right w:val="single" w:sz="4" w:space="0" w:color="auto"/>
            </w:tcBorders>
            <w:shd w:val="clear" w:color="auto" w:fill="auto"/>
          </w:tcPr>
          <w:p w14:paraId="0E252682"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5</w:t>
            </w:r>
          </w:p>
        </w:tc>
        <w:tc>
          <w:tcPr>
            <w:tcW w:w="900" w:type="dxa"/>
            <w:tcBorders>
              <w:top w:val="nil"/>
              <w:left w:val="nil"/>
              <w:bottom w:val="single" w:sz="4" w:space="0" w:color="auto"/>
              <w:right w:val="single" w:sz="4" w:space="0" w:color="auto"/>
            </w:tcBorders>
            <w:shd w:val="clear" w:color="auto" w:fill="auto"/>
            <w:hideMark/>
          </w:tcPr>
          <w:p w14:paraId="424313C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r>
      <w:tr w:rsidR="005A1B04" w:rsidRPr="005A1B04" w14:paraId="775611B2"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0C01408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40</w:t>
            </w:r>
          </w:p>
        </w:tc>
        <w:tc>
          <w:tcPr>
            <w:tcW w:w="536" w:type="dxa"/>
            <w:tcBorders>
              <w:top w:val="nil"/>
              <w:left w:val="nil"/>
              <w:bottom w:val="single" w:sz="4" w:space="0" w:color="auto"/>
              <w:right w:val="single" w:sz="4" w:space="0" w:color="auto"/>
            </w:tcBorders>
            <w:shd w:val="clear" w:color="auto" w:fill="auto"/>
            <w:hideMark/>
          </w:tcPr>
          <w:p w14:paraId="27154992"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15</w:t>
            </w:r>
          </w:p>
        </w:tc>
        <w:tc>
          <w:tcPr>
            <w:tcW w:w="560" w:type="dxa"/>
            <w:tcBorders>
              <w:top w:val="nil"/>
              <w:left w:val="nil"/>
              <w:bottom w:val="single" w:sz="4" w:space="0" w:color="auto"/>
              <w:right w:val="single" w:sz="4" w:space="0" w:color="auto"/>
            </w:tcBorders>
            <w:shd w:val="clear" w:color="auto" w:fill="auto"/>
            <w:hideMark/>
          </w:tcPr>
          <w:p w14:paraId="76B4274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CP</w:t>
            </w:r>
          </w:p>
        </w:tc>
        <w:tc>
          <w:tcPr>
            <w:tcW w:w="551" w:type="dxa"/>
            <w:tcBorders>
              <w:top w:val="nil"/>
              <w:left w:val="nil"/>
              <w:bottom w:val="single" w:sz="4" w:space="0" w:color="auto"/>
              <w:right w:val="single" w:sz="4" w:space="0" w:color="auto"/>
            </w:tcBorders>
            <w:shd w:val="clear" w:color="auto" w:fill="auto"/>
            <w:hideMark/>
          </w:tcPr>
          <w:p w14:paraId="785496D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216</w:t>
            </w:r>
          </w:p>
        </w:tc>
        <w:tc>
          <w:tcPr>
            <w:tcW w:w="844" w:type="dxa"/>
            <w:tcBorders>
              <w:top w:val="nil"/>
              <w:left w:val="nil"/>
              <w:bottom w:val="single" w:sz="4" w:space="0" w:color="auto"/>
              <w:right w:val="single" w:sz="4" w:space="0" w:color="auto"/>
            </w:tcBorders>
            <w:shd w:val="clear" w:color="auto" w:fill="auto"/>
            <w:hideMark/>
          </w:tcPr>
          <w:p w14:paraId="602B258B"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15.9</w:t>
            </w:r>
          </w:p>
        </w:tc>
        <w:tc>
          <w:tcPr>
            <w:tcW w:w="712" w:type="dxa"/>
            <w:tcBorders>
              <w:top w:val="nil"/>
              <w:left w:val="nil"/>
              <w:bottom w:val="single" w:sz="4" w:space="0" w:color="auto"/>
              <w:right w:val="single" w:sz="4" w:space="0" w:color="auto"/>
            </w:tcBorders>
            <w:shd w:val="clear" w:color="auto" w:fill="auto"/>
            <w:hideMark/>
          </w:tcPr>
          <w:p w14:paraId="724C404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4.1</w:t>
            </w:r>
          </w:p>
        </w:tc>
        <w:tc>
          <w:tcPr>
            <w:tcW w:w="835" w:type="dxa"/>
            <w:tcBorders>
              <w:top w:val="nil"/>
              <w:left w:val="nil"/>
              <w:bottom w:val="single" w:sz="4" w:space="0" w:color="auto"/>
              <w:right w:val="single" w:sz="4" w:space="0" w:color="auto"/>
            </w:tcBorders>
            <w:shd w:val="clear" w:color="auto" w:fill="auto"/>
          </w:tcPr>
          <w:p w14:paraId="5EEBA57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2.5</w:t>
            </w:r>
          </w:p>
        </w:tc>
        <w:tc>
          <w:tcPr>
            <w:tcW w:w="900" w:type="dxa"/>
            <w:tcBorders>
              <w:top w:val="nil"/>
              <w:left w:val="nil"/>
              <w:bottom w:val="single" w:sz="4" w:space="0" w:color="auto"/>
              <w:right w:val="single" w:sz="4" w:space="0" w:color="auto"/>
            </w:tcBorders>
            <w:shd w:val="clear" w:color="auto" w:fill="auto"/>
            <w:hideMark/>
          </w:tcPr>
          <w:p w14:paraId="1136A15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c>
          <w:tcPr>
            <w:tcW w:w="540" w:type="dxa"/>
            <w:tcBorders>
              <w:top w:val="nil"/>
              <w:left w:val="nil"/>
              <w:bottom w:val="single" w:sz="4" w:space="0" w:color="auto"/>
              <w:right w:val="single" w:sz="4" w:space="0" w:color="auto"/>
            </w:tcBorders>
            <w:shd w:val="clear" w:color="auto" w:fill="auto"/>
            <w:hideMark/>
          </w:tcPr>
          <w:p w14:paraId="77D75BEA"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22</w:t>
            </w:r>
          </w:p>
        </w:tc>
        <w:tc>
          <w:tcPr>
            <w:tcW w:w="726" w:type="dxa"/>
            <w:tcBorders>
              <w:top w:val="nil"/>
              <w:left w:val="nil"/>
              <w:bottom w:val="single" w:sz="4" w:space="0" w:color="auto"/>
              <w:right w:val="single" w:sz="4" w:space="0" w:color="auto"/>
            </w:tcBorders>
            <w:shd w:val="clear" w:color="auto" w:fill="auto"/>
            <w:hideMark/>
          </w:tcPr>
          <w:p w14:paraId="1BEE28C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13.4</w:t>
            </w:r>
          </w:p>
        </w:tc>
        <w:tc>
          <w:tcPr>
            <w:tcW w:w="714" w:type="dxa"/>
            <w:tcBorders>
              <w:top w:val="nil"/>
              <w:left w:val="nil"/>
              <w:bottom w:val="single" w:sz="4" w:space="0" w:color="auto"/>
              <w:right w:val="single" w:sz="4" w:space="0" w:color="auto"/>
            </w:tcBorders>
            <w:shd w:val="clear" w:color="auto" w:fill="auto"/>
            <w:hideMark/>
          </w:tcPr>
          <w:p w14:paraId="1A9E3AA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6.6</w:t>
            </w:r>
          </w:p>
        </w:tc>
        <w:tc>
          <w:tcPr>
            <w:tcW w:w="900" w:type="dxa"/>
            <w:tcBorders>
              <w:top w:val="nil"/>
              <w:left w:val="nil"/>
              <w:bottom w:val="single" w:sz="4" w:space="0" w:color="auto"/>
              <w:right w:val="single" w:sz="4" w:space="0" w:color="auto"/>
            </w:tcBorders>
            <w:shd w:val="clear" w:color="auto" w:fill="auto"/>
          </w:tcPr>
          <w:p w14:paraId="65C22DA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5</w:t>
            </w:r>
          </w:p>
        </w:tc>
        <w:tc>
          <w:tcPr>
            <w:tcW w:w="900" w:type="dxa"/>
            <w:tcBorders>
              <w:top w:val="nil"/>
              <w:left w:val="nil"/>
              <w:bottom w:val="single" w:sz="4" w:space="0" w:color="auto"/>
              <w:right w:val="single" w:sz="4" w:space="0" w:color="auto"/>
            </w:tcBorders>
            <w:shd w:val="clear" w:color="auto" w:fill="auto"/>
            <w:hideMark/>
          </w:tcPr>
          <w:p w14:paraId="655E8D0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r>
      <w:tr w:rsidR="005A1B04" w:rsidRPr="005A1B04" w14:paraId="1999BC88"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3BF1E20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60</w:t>
            </w:r>
          </w:p>
        </w:tc>
        <w:tc>
          <w:tcPr>
            <w:tcW w:w="536" w:type="dxa"/>
            <w:tcBorders>
              <w:top w:val="nil"/>
              <w:left w:val="nil"/>
              <w:bottom w:val="single" w:sz="4" w:space="0" w:color="auto"/>
              <w:right w:val="single" w:sz="4" w:space="0" w:color="auto"/>
            </w:tcBorders>
            <w:shd w:val="clear" w:color="auto" w:fill="auto"/>
            <w:hideMark/>
          </w:tcPr>
          <w:p w14:paraId="49793D3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30</w:t>
            </w:r>
          </w:p>
        </w:tc>
        <w:tc>
          <w:tcPr>
            <w:tcW w:w="560" w:type="dxa"/>
            <w:tcBorders>
              <w:top w:val="nil"/>
              <w:left w:val="nil"/>
              <w:bottom w:val="single" w:sz="4" w:space="0" w:color="auto"/>
              <w:right w:val="single" w:sz="4" w:space="0" w:color="auto"/>
            </w:tcBorders>
            <w:shd w:val="clear" w:color="auto" w:fill="auto"/>
            <w:hideMark/>
          </w:tcPr>
          <w:p w14:paraId="4B2E984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DFT</w:t>
            </w:r>
          </w:p>
        </w:tc>
        <w:tc>
          <w:tcPr>
            <w:tcW w:w="551" w:type="dxa"/>
            <w:tcBorders>
              <w:top w:val="nil"/>
              <w:left w:val="nil"/>
              <w:bottom w:val="single" w:sz="4" w:space="0" w:color="auto"/>
              <w:right w:val="single" w:sz="4" w:space="0" w:color="auto"/>
            </w:tcBorders>
            <w:shd w:val="clear" w:color="auto" w:fill="auto"/>
            <w:hideMark/>
          </w:tcPr>
          <w:p w14:paraId="5594130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162</w:t>
            </w:r>
          </w:p>
        </w:tc>
        <w:tc>
          <w:tcPr>
            <w:tcW w:w="844" w:type="dxa"/>
            <w:tcBorders>
              <w:top w:val="nil"/>
              <w:left w:val="nil"/>
              <w:bottom w:val="single" w:sz="4" w:space="0" w:color="auto"/>
              <w:right w:val="single" w:sz="4" w:space="0" w:color="auto"/>
            </w:tcBorders>
            <w:shd w:val="clear" w:color="auto" w:fill="auto"/>
            <w:hideMark/>
          </w:tcPr>
          <w:p w14:paraId="2CAB322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17.7</w:t>
            </w:r>
          </w:p>
        </w:tc>
        <w:tc>
          <w:tcPr>
            <w:tcW w:w="712" w:type="dxa"/>
            <w:tcBorders>
              <w:top w:val="nil"/>
              <w:left w:val="nil"/>
              <w:bottom w:val="single" w:sz="4" w:space="0" w:color="auto"/>
              <w:right w:val="single" w:sz="4" w:space="0" w:color="auto"/>
            </w:tcBorders>
            <w:shd w:val="clear" w:color="auto" w:fill="auto"/>
            <w:hideMark/>
          </w:tcPr>
          <w:p w14:paraId="3EB02C5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2.3</w:t>
            </w:r>
          </w:p>
        </w:tc>
        <w:tc>
          <w:tcPr>
            <w:tcW w:w="835" w:type="dxa"/>
            <w:tcBorders>
              <w:top w:val="nil"/>
              <w:left w:val="nil"/>
              <w:bottom w:val="single" w:sz="4" w:space="0" w:color="auto"/>
              <w:right w:val="single" w:sz="4" w:space="0" w:color="auto"/>
            </w:tcBorders>
            <w:shd w:val="clear" w:color="auto" w:fill="auto"/>
          </w:tcPr>
          <w:p w14:paraId="59AF2F3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0.5</w:t>
            </w:r>
          </w:p>
        </w:tc>
        <w:tc>
          <w:tcPr>
            <w:tcW w:w="900" w:type="dxa"/>
            <w:tcBorders>
              <w:top w:val="nil"/>
              <w:left w:val="nil"/>
              <w:bottom w:val="single" w:sz="4" w:space="0" w:color="auto"/>
              <w:right w:val="single" w:sz="4" w:space="0" w:color="auto"/>
            </w:tcBorders>
            <w:shd w:val="clear" w:color="auto" w:fill="auto"/>
            <w:hideMark/>
          </w:tcPr>
          <w:p w14:paraId="30B3F102"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c>
          <w:tcPr>
            <w:tcW w:w="540" w:type="dxa"/>
            <w:tcBorders>
              <w:top w:val="nil"/>
              <w:left w:val="nil"/>
              <w:bottom w:val="single" w:sz="4" w:space="0" w:color="auto"/>
              <w:right w:val="single" w:sz="4" w:space="0" w:color="auto"/>
            </w:tcBorders>
            <w:shd w:val="clear" w:color="auto" w:fill="auto"/>
            <w:hideMark/>
          </w:tcPr>
          <w:p w14:paraId="023195E6"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32</w:t>
            </w:r>
          </w:p>
        </w:tc>
        <w:tc>
          <w:tcPr>
            <w:tcW w:w="726" w:type="dxa"/>
            <w:tcBorders>
              <w:top w:val="nil"/>
              <w:left w:val="nil"/>
              <w:bottom w:val="single" w:sz="4" w:space="0" w:color="auto"/>
              <w:right w:val="single" w:sz="4" w:space="0" w:color="auto"/>
            </w:tcBorders>
            <w:shd w:val="clear" w:color="auto" w:fill="auto"/>
            <w:hideMark/>
          </w:tcPr>
          <w:p w14:paraId="4350469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15.1</w:t>
            </w:r>
          </w:p>
        </w:tc>
        <w:tc>
          <w:tcPr>
            <w:tcW w:w="714" w:type="dxa"/>
            <w:tcBorders>
              <w:top w:val="nil"/>
              <w:left w:val="nil"/>
              <w:bottom w:val="single" w:sz="4" w:space="0" w:color="auto"/>
              <w:right w:val="single" w:sz="4" w:space="0" w:color="auto"/>
            </w:tcBorders>
            <w:shd w:val="clear" w:color="auto" w:fill="auto"/>
            <w:hideMark/>
          </w:tcPr>
          <w:p w14:paraId="79AFCA0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4.9</w:t>
            </w:r>
          </w:p>
        </w:tc>
        <w:tc>
          <w:tcPr>
            <w:tcW w:w="900" w:type="dxa"/>
            <w:tcBorders>
              <w:top w:val="nil"/>
              <w:left w:val="nil"/>
              <w:bottom w:val="single" w:sz="4" w:space="0" w:color="auto"/>
              <w:right w:val="single" w:sz="4" w:space="0" w:color="auto"/>
            </w:tcBorders>
            <w:shd w:val="clear" w:color="auto" w:fill="auto"/>
          </w:tcPr>
          <w:p w14:paraId="7F6C915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w:t>
            </w:r>
          </w:p>
        </w:tc>
        <w:tc>
          <w:tcPr>
            <w:tcW w:w="900" w:type="dxa"/>
            <w:tcBorders>
              <w:top w:val="nil"/>
              <w:left w:val="nil"/>
              <w:bottom w:val="single" w:sz="4" w:space="0" w:color="auto"/>
              <w:right w:val="single" w:sz="4" w:space="0" w:color="auto"/>
            </w:tcBorders>
            <w:shd w:val="clear" w:color="auto" w:fill="auto"/>
            <w:hideMark/>
          </w:tcPr>
          <w:p w14:paraId="03100B9A"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r>
      <w:tr w:rsidR="005A1B04" w:rsidRPr="005A1B04" w14:paraId="0861EA58"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39E27FFB"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60</w:t>
            </w:r>
          </w:p>
        </w:tc>
        <w:tc>
          <w:tcPr>
            <w:tcW w:w="536" w:type="dxa"/>
            <w:tcBorders>
              <w:top w:val="nil"/>
              <w:left w:val="nil"/>
              <w:bottom w:val="single" w:sz="4" w:space="0" w:color="auto"/>
              <w:right w:val="single" w:sz="4" w:space="0" w:color="auto"/>
            </w:tcBorders>
            <w:shd w:val="clear" w:color="auto" w:fill="auto"/>
            <w:hideMark/>
          </w:tcPr>
          <w:p w14:paraId="4154911B"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30</w:t>
            </w:r>
          </w:p>
        </w:tc>
        <w:tc>
          <w:tcPr>
            <w:tcW w:w="560" w:type="dxa"/>
            <w:tcBorders>
              <w:top w:val="nil"/>
              <w:left w:val="nil"/>
              <w:bottom w:val="single" w:sz="4" w:space="0" w:color="auto"/>
              <w:right w:val="single" w:sz="4" w:space="0" w:color="auto"/>
            </w:tcBorders>
            <w:shd w:val="clear" w:color="auto" w:fill="auto"/>
            <w:hideMark/>
          </w:tcPr>
          <w:p w14:paraId="644F993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CP</w:t>
            </w:r>
          </w:p>
        </w:tc>
        <w:tc>
          <w:tcPr>
            <w:tcW w:w="551" w:type="dxa"/>
            <w:tcBorders>
              <w:top w:val="nil"/>
              <w:left w:val="nil"/>
              <w:bottom w:val="single" w:sz="4" w:space="0" w:color="auto"/>
              <w:right w:val="single" w:sz="4" w:space="0" w:color="auto"/>
            </w:tcBorders>
            <w:shd w:val="clear" w:color="auto" w:fill="auto"/>
            <w:hideMark/>
          </w:tcPr>
          <w:p w14:paraId="5CB6B09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162</w:t>
            </w:r>
          </w:p>
        </w:tc>
        <w:tc>
          <w:tcPr>
            <w:tcW w:w="844" w:type="dxa"/>
            <w:tcBorders>
              <w:top w:val="nil"/>
              <w:left w:val="nil"/>
              <w:bottom w:val="single" w:sz="4" w:space="0" w:color="auto"/>
              <w:right w:val="single" w:sz="4" w:space="0" w:color="auto"/>
            </w:tcBorders>
            <w:shd w:val="clear" w:color="auto" w:fill="auto"/>
            <w:hideMark/>
          </w:tcPr>
          <w:p w14:paraId="67A1A596"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17.7</w:t>
            </w:r>
          </w:p>
        </w:tc>
        <w:tc>
          <w:tcPr>
            <w:tcW w:w="712" w:type="dxa"/>
            <w:tcBorders>
              <w:top w:val="nil"/>
              <w:left w:val="nil"/>
              <w:bottom w:val="single" w:sz="4" w:space="0" w:color="auto"/>
              <w:right w:val="single" w:sz="4" w:space="0" w:color="auto"/>
            </w:tcBorders>
            <w:shd w:val="clear" w:color="auto" w:fill="auto"/>
            <w:hideMark/>
          </w:tcPr>
          <w:p w14:paraId="3F5A5AB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2.3</w:t>
            </w:r>
          </w:p>
        </w:tc>
        <w:tc>
          <w:tcPr>
            <w:tcW w:w="835" w:type="dxa"/>
            <w:tcBorders>
              <w:top w:val="nil"/>
              <w:left w:val="nil"/>
              <w:bottom w:val="single" w:sz="4" w:space="0" w:color="auto"/>
              <w:right w:val="single" w:sz="4" w:space="0" w:color="auto"/>
            </w:tcBorders>
            <w:shd w:val="clear" w:color="auto" w:fill="auto"/>
          </w:tcPr>
          <w:p w14:paraId="60B3A07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0.5</w:t>
            </w:r>
          </w:p>
        </w:tc>
        <w:tc>
          <w:tcPr>
            <w:tcW w:w="900" w:type="dxa"/>
            <w:tcBorders>
              <w:top w:val="nil"/>
              <w:left w:val="nil"/>
              <w:bottom w:val="single" w:sz="4" w:space="0" w:color="auto"/>
              <w:right w:val="single" w:sz="4" w:space="0" w:color="auto"/>
            </w:tcBorders>
            <w:shd w:val="clear" w:color="auto" w:fill="auto"/>
            <w:hideMark/>
          </w:tcPr>
          <w:p w14:paraId="661F480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c>
          <w:tcPr>
            <w:tcW w:w="540" w:type="dxa"/>
            <w:tcBorders>
              <w:top w:val="nil"/>
              <w:left w:val="nil"/>
              <w:bottom w:val="single" w:sz="4" w:space="0" w:color="auto"/>
              <w:right w:val="single" w:sz="4" w:space="0" w:color="auto"/>
            </w:tcBorders>
            <w:shd w:val="clear" w:color="auto" w:fill="auto"/>
            <w:hideMark/>
          </w:tcPr>
          <w:p w14:paraId="591BE04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33</w:t>
            </w:r>
          </w:p>
        </w:tc>
        <w:tc>
          <w:tcPr>
            <w:tcW w:w="726" w:type="dxa"/>
            <w:tcBorders>
              <w:top w:val="nil"/>
              <w:left w:val="nil"/>
              <w:bottom w:val="single" w:sz="4" w:space="0" w:color="auto"/>
              <w:right w:val="single" w:sz="4" w:space="0" w:color="auto"/>
            </w:tcBorders>
            <w:shd w:val="clear" w:color="auto" w:fill="auto"/>
            <w:hideMark/>
          </w:tcPr>
          <w:p w14:paraId="1D770D0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15.2</w:t>
            </w:r>
          </w:p>
        </w:tc>
        <w:tc>
          <w:tcPr>
            <w:tcW w:w="714" w:type="dxa"/>
            <w:tcBorders>
              <w:top w:val="nil"/>
              <w:left w:val="nil"/>
              <w:bottom w:val="single" w:sz="4" w:space="0" w:color="auto"/>
              <w:right w:val="single" w:sz="4" w:space="0" w:color="auto"/>
            </w:tcBorders>
            <w:shd w:val="clear" w:color="auto" w:fill="auto"/>
            <w:hideMark/>
          </w:tcPr>
          <w:p w14:paraId="7B3BC99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4.8</w:t>
            </w:r>
          </w:p>
        </w:tc>
        <w:tc>
          <w:tcPr>
            <w:tcW w:w="900" w:type="dxa"/>
            <w:tcBorders>
              <w:top w:val="nil"/>
              <w:left w:val="nil"/>
              <w:bottom w:val="single" w:sz="4" w:space="0" w:color="auto"/>
              <w:right w:val="single" w:sz="4" w:space="0" w:color="auto"/>
            </w:tcBorders>
            <w:shd w:val="clear" w:color="auto" w:fill="auto"/>
          </w:tcPr>
          <w:p w14:paraId="7548EB56"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w:t>
            </w:r>
          </w:p>
        </w:tc>
        <w:tc>
          <w:tcPr>
            <w:tcW w:w="900" w:type="dxa"/>
            <w:tcBorders>
              <w:top w:val="nil"/>
              <w:left w:val="nil"/>
              <w:bottom w:val="single" w:sz="4" w:space="0" w:color="auto"/>
              <w:right w:val="single" w:sz="4" w:space="0" w:color="auto"/>
            </w:tcBorders>
            <w:shd w:val="clear" w:color="auto" w:fill="auto"/>
            <w:hideMark/>
          </w:tcPr>
          <w:p w14:paraId="09792A8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r>
      <w:tr w:rsidR="005A1B04" w:rsidRPr="005A1B04" w14:paraId="76EEB3C6"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2F67EF4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80</w:t>
            </w:r>
          </w:p>
        </w:tc>
        <w:tc>
          <w:tcPr>
            <w:tcW w:w="536" w:type="dxa"/>
            <w:tcBorders>
              <w:top w:val="nil"/>
              <w:left w:val="nil"/>
              <w:bottom w:val="single" w:sz="4" w:space="0" w:color="auto"/>
              <w:right w:val="single" w:sz="4" w:space="0" w:color="auto"/>
            </w:tcBorders>
            <w:shd w:val="clear" w:color="auto" w:fill="auto"/>
            <w:hideMark/>
          </w:tcPr>
          <w:p w14:paraId="4152A72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30</w:t>
            </w:r>
          </w:p>
        </w:tc>
        <w:tc>
          <w:tcPr>
            <w:tcW w:w="560" w:type="dxa"/>
            <w:tcBorders>
              <w:top w:val="nil"/>
              <w:left w:val="nil"/>
              <w:bottom w:val="single" w:sz="4" w:space="0" w:color="auto"/>
              <w:right w:val="single" w:sz="4" w:space="0" w:color="auto"/>
            </w:tcBorders>
            <w:shd w:val="clear" w:color="auto" w:fill="auto"/>
            <w:hideMark/>
          </w:tcPr>
          <w:p w14:paraId="1AE30D1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DFT</w:t>
            </w:r>
          </w:p>
        </w:tc>
        <w:tc>
          <w:tcPr>
            <w:tcW w:w="551" w:type="dxa"/>
            <w:tcBorders>
              <w:top w:val="nil"/>
              <w:left w:val="nil"/>
              <w:bottom w:val="single" w:sz="4" w:space="0" w:color="auto"/>
              <w:right w:val="single" w:sz="4" w:space="0" w:color="auto"/>
            </w:tcBorders>
            <w:shd w:val="clear" w:color="auto" w:fill="auto"/>
            <w:hideMark/>
          </w:tcPr>
          <w:p w14:paraId="1378D16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216</w:t>
            </w:r>
          </w:p>
        </w:tc>
        <w:tc>
          <w:tcPr>
            <w:tcW w:w="844" w:type="dxa"/>
            <w:tcBorders>
              <w:top w:val="nil"/>
              <w:left w:val="nil"/>
              <w:bottom w:val="single" w:sz="4" w:space="0" w:color="auto"/>
              <w:right w:val="single" w:sz="4" w:space="0" w:color="auto"/>
            </w:tcBorders>
            <w:shd w:val="clear" w:color="auto" w:fill="auto"/>
            <w:hideMark/>
          </w:tcPr>
          <w:p w14:paraId="1D05B41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18.9</w:t>
            </w:r>
          </w:p>
        </w:tc>
        <w:tc>
          <w:tcPr>
            <w:tcW w:w="712" w:type="dxa"/>
            <w:tcBorders>
              <w:top w:val="nil"/>
              <w:left w:val="nil"/>
              <w:bottom w:val="single" w:sz="4" w:space="0" w:color="auto"/>
              <w:right w:val="single" w:sz="4" w:space="0" w:color="auto"/>
            </w:tcBorders>
            <w:shd w:val="clear" w:color="auto" w:fill="auto"/>
            <w:hideMark/>
          </w:tcPr>
          <w:p w14:paraId="7EDB544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1.1</w:t>
            </w:r>
          </w:p>
        </w:tc>
        <w:tc>
          <w:tcPr>
            <w:tcW w:w="835" w:type="dxa"/>
            <w:tcBorders>
              <w:top w:val="nil"/>
              <w:left w:val="nil"/>
              <w:bottom w:val="single" w:sz="4" w:space="0" w:color="auto"/>
              <w:right w:val="single" w:sz="4" w:space="0" w:color="auto"/>
            </w:tcBorders>
            <w:shd w:val="clear" w:color="auto" w:fill="auto"/>
          </w:tcPr>
          <w:p w14:paraId="3149AAAF"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0</w:t>
            </w:r>
          </w:p>
        </w:tc>
        <w:tc>
          <w:tcPr>
            <w:tcW w:w="900" w:type="dxa"/>
            <w:tcBorders>
              <w:top w:val="nil"/>
              <w:left w:val="nil"/>
              <w:bottom w:val="single" w:sz="4" w:space="0" w:color="auto"/>
              <w:right w:val="single" w:sz="4" w:space="0" w:color="auto"/>
            </w:tcBorders>
            <w:shd w:val="clear" w:color="auto" w:fill="auto"/>
            <w:hideMark/>
          </w:tcPr>
          <w:p w14:paraId="7225D8A2"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c>
          <w:tcPr>
            <w:tcW w:w="540" w:type="dxa"/>
            <w:tcBorders>
              <w:top w:val="nil"/>
              <w:left w:val="nil"/>
              <w:bottom w:val="single" w:sz="4" w:space="0" w:color="auto"/>
              <w:right w:val="single" w:sz="4" w:space="0" w:color="auto"/>
            </w:tcBorders>
            <w:shd w:val="clear" w:color="auto" w:fill="auto"/>
            <w:hideMark/>
          </w:tcPr>
          <w:p w14:paraId="30F4AF9F"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40</w:t>
            </w:r>
          </w:p>
        </w:tc>
        <w:tc>
          <w:tcPr>
            <w:tcW w:w="726" w:type="dxa"/>
            <w:tcBorders>
              <w:top w:val="nil"/>
              <w:left w:val="nil"/>
              <w:bottom w:val="single" w:sz="4" w:space="0" w:color="auto"/>
              <w:right w:val="single" w:sz="4" w:space="0" w:color="auto"/>
            </w:tcBorders>
            <w:shd w:val="clear" w:color="auto" w:fill="auto"/>
            <w:hideMark/>
          </w:tcPr>
          <w:p w14:paraId="3602287A"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16</w:t>
            </w:r>
          </w:p>
        </w:tc>
        <w:tc>
          <w:tcPr>
            <w:tcW w:w="714" w:type="dxa"/>
            <w:tcBorders>
              <w:top w:val="nil"/>
              <w:left w:val="nil"/>
              <w:bottom w:val="single" w:sz="4" w:space="0" w:color="auto"/>
              <w:right w:val="single" w:sz="4" w:space="0" w:color="auto"/>
            </w:tcBorders>
            <w:shd w:val="clear" w:color="auto" w:fill="auto"/>
            <w:hideMark/>
          </w:tcPr>
          <w:p w14:paraId="0BD78F4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w:t>
            </w:r>
          </w:p>
        </w:tc>
        <w:tc>
          <w:tcPr>
            <w:tcW w:w="900" w:type="dxa"/>
            <w:tcBorders>
              <w:top w:val="nil"/>
              <w:left w:val="nil"/>
              <w:bottom w:val="single" w:sz="4" w:space="0" w:color="auto"/>
              <w:right w:val="single" w:sz="4" w:space="0" w:color="auto"/>
            </w:tcBorders>
            <w:shd w:val="clear" w:color="auto" w:fill="auto"/>
          </w:tcPr>
          <w:p w14:paraId="77A1ED5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w:t>
            </w:r>
          </w:p>
        </w:tc>
        <w:tc>
          <w:tcPr>
            <w:tcW w:w="900" w:type="dxa"/>
            <w:tcBorders>
              <w:top w:val="nil"/>
              <w:left w:val="nil"/>
              <w:bottom w:val="single" w:sz="4" w:space="0" w:color="auto"/>
              <w:right w:val="single" w:sz="4" w:space="0" w:color="auto"/>
            </w:tcBorders>
            <w:shd w:val="clear" w:color="auto" w:fill="auto"/>
            <w:hideMark/>
          </w:tcPr>
          <w:p w14:paraId="1A1A1D9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r>
      <w:tr w:rsidR="005A1B04" w:rsidRPr="005A1B04" w14:paraId="63995DA5"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3E73A56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80</w:t>
            </w:r>
          </w:p>
        </w:tc>
        <w:tc>
          <w:tcPr>
            <w:tcW w:w="536" w:type="dxa"/>
            <w:tcBorders>
              <w:top w:val="nil"/>
              <w:left w:val="nil"/>
              <w:bottom w:val="single" w:sz="4" w:space="0" w:color="auto"/>
              <w:right w:val="single" w:sz="4" w:space="0" w:color="auto"/>
            </w:tcBorders>
            <w:shd w:val="clear" w:color="auto" w:fill="auto"/>
            <w:hideMark/>
          </w:tcPr>
          <w:p w14:paraId="759DE8B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30</w:t>
            </w:r>
          </w:p>
        </w:tc>
        <w:tc>
          <w:tcPr>
            <w:tcW w:w="560" w:type="dxa"/>
            <w:tcBorders>
              <w:top w:val="nil"/>
              <w:left w:val="nil"/>
              <w:bottom w:val="single" w:sz="4" w:space="0" w:color="auto"/>
              <w:right w:val="single" w:sz="4" w:space="0" w:color="auto"/>
            </w:tcBorders>
            <w:shd w:val="clear" w:color="auto" w:fill="auto"/>
            <w:hideMark/>
          </w:tcPr>
          <w:p w14:paraId="45F49A9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CP</w:t>
            </w:r>
          </w:p>
        </w:tc>
        <w:tc>
          <w:tcPr>
            <w:tcW w:w="551" w:type="dxa"/>
            <w:tcBorders>
              <w:top w:val="nil"/>
              <w:left w:val="nil"/>
              <w:bottom w:val="single" w:sz="4" w:space="0" w:color="auto"/>
              <w:right w:val="single" w:sz="4" w:space="0" w:color="auto"/>
            </w:tcBorders>
            <w:shd w:val="clear" w:color="auto" w:fill="auto"/>
            <w:hideMark/>
          </w:tcPr>
          <w:p w14:paraId="53DAF64F"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217</w:t>
            </w:r>
          </w:p>
        </w:tc>
        <w:tc>
          <w:tcPr>
            <w:tcW w:w="844" w:type="dxa"/>
            <w:tcBorders>
              <w:top w:val="nil"/>
              <w:left w:val="nil"/>
              <w:bottom w:val="single" w:sz="4" w:space="0" w:color="auto"/>
              <w:right w:val="single" w:sz="4" w:space="0" w:color="auto"/>
            </w:tcBorders>
            <w:shd w:val="clear" w:color="auto" w:fill="auto"/>
            <w:hideMark/>
          </w:tcPr>
          <w:p w14:paraId="122806AD"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18.9</w:t>
            </w:r>
          </w:p>
        </w:tc>
        <w:tc>
          <w:tcPr>
            <w:tcW w:w="712" w:type="dxa"/>
            <w:tcBorders>
              <w:top w:val="nil"/>
              <w:left w:val="nil"/>
              <w:bottom w:val="single" w:sz="4" w:space="0" w:color="auto"/>
              <w:right w:val="single" w:sz="4" w:space="0" w:color="auto"/>
            </w:tcBorders>
            <w:shd w:val="clear" w:color="auto" w:fill="auto"/>
            <w:hideMark/>
          </w:tcPr>
          <w:p w14:paraId="2494C36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1.1</w:t>
            </w:r>
          </w:p>
        </w:tc>
        <w:tc>
          <w:tcPr>
            <w:tcW w:w="835" w:type="dxa"/>
            <w:tcBorders>
              <w:top w:val="nil"/>
              <w:left w:val="nil"/>
              <w:bottom w:val="single" w:sz="4" w:space="0" w:color="auto"/>
              <w:right w:val="single" w:sz="4" w:space="0" w:color="auto"/>
            </w:tcBorders>
            <w:shd w:val="clear" w:color="auto" w:fill="auto"/>
          </w:tcPr>
          <w:p w14:paraId="15C26F02"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0</w:t>
            </w:r>
          </w:p>
        </w:tc>
        <w:tc>
          <w:tcPr>
            <w:tcW w:w="900" w:type="dxa"/>
            <w:tcBorders>
              <w:top w:val="nil"/>
              <w:left w:val="nil"/>
              <w:bottom w:val="single" w:sz="4" w:space="0" w:color="auto"/>
              <w:right w:val="single" w:sz="4" w:space="0" w:color="auto"/>
            </w:tcBorders>
            <w:shd w:val="clear" w:color="auto" w:fill="auto"/>
            <w:hideMark/>
          </w:tcPr>
          <w:p w14:paraId="5F295DB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c>
          <w:tcPr>
            <w:tcW w:w="540" w:type="dxa"/>
            <w:tcBorders>
              <w:top w:val="nil"/>
              <w:left w:val="nil"/>
              <w:bottom w:val="single" w:sz="4" w:space="0" w:color="auto"/>
              <w:right w:val="single" w:sz="4" w:space="0" w:color="auto"/>
            </w:tcBorders>
            <w:shd w:val="clear" w:color="auto" w:fill="auto"/>
            <w:hideMark/>
          </w:tcPr>
          <w:p w14:paraId="50FC317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44</w:t>
            </w:r>
          </w:p>
        </w:tc>
        <w:tc>
          <w:tcPr>
            <w:tcW w:w="726" w:type="dxa"/>
            <w:tcBorders>
              <w:top w:val="nil"/>
              <w:left w:val="nil"/>
              <w:bottom w:val="single" w:sz="4" w:space="0" w:color="auto"/>
              <w:right w:val="single" w:sz="4" w:space="0" w:color="auto"/>
            </w:tcBorders>
            <w:shd w:val="clear" w:color="auto" w:fill="auto"/>
            <w:hideMark/>
          </w:tcPr>
          <w:p w14:paraId="76022D6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16.4</w:t>
            </w:r>
          </w:p>
        </w:tc>
        <w:tc>
          <w:tcPr>
            <w:tcW w:w="714" w:type="dxa"/>
            <w:tcBorders>
              <w:top w:val="nil"/>
              <w:left w:val="nil"/>
              <w:bottom w:val="single" w:sz="4" w:space="0" w:color="auto"/>
              <w:right w:val="single" w:sz="4" w:space="0" w:color="auto"/>
            </w:tcBorders>
            <w:shd w:val="clear" w:color="auto" w:fill="auto"/>
            <w:hideMark/>
          </w:tcPr>
          <w:p w14:paraId="4C94580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3.6</w:t>
            </w:r>
          </w:p>
        </w:tc>
        <w:tc>
          <w:tcPr>
            <w:tcW w:w="900" w:type="dxa"/>
            <w:tcBorders>
              <w:top w:val="nil"/>
              <w:left w:val="nil"/>
              <w:bottom w:val="single" w:sz="4" w:space="0" w:color="auto"/>
              <w:right w:val="single" w:sz="4" w:space="0" w:color="auto"/>
            </w:tcBorders>
            <w:shd w:val="clear" w:color="auto" w:fill="auto"/>
          </w:tcPr>
          <w:p w14:paraId="28FCC30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w:t>
            </w:r>
          </w:p>
        </w:tc>
        <w:tc>
          <w:tcPr>
            <w:tcW w:w="900" w:type="dxa"/>
            <w:tcBorders>
              <w:top w:val="nil"/>
              <w:left w:val="nil"/>
              <w:bottom w:val="single" w:sz="4" w:space="0" w:color="auto"/>
              <w:right w:val="single" w:sz="4" w:space="0" w:color="auto"/>
            </w:tcBorders>
            <w:shd w:val="clear" w:color="auto" w:fill="auto"/>
            <w:hideMark/>
          </w:tcPr>
          <w:p w14:paraId="03D37E1A"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r>
      <w:tr w:rsidR="005A1B04" w:rsidRPr="005A1B04" w14:paraId="521C7DF5"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0DAA779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100</w:t>
            </w:r>
          </w:p>
        </w:tc>
        <w:tc>
          <w:tcPr>
            <w:tcW w:w="536" w:type="dxa"/>
            <w:tcBorders>
              <w:top w:val="nil"/>
              <w:left w:val="nil"/>
              <w:bottom w:val="single" w:sz="4" w:space="0" w:color="auto"/>
              <w:right w:val="single" w:sz="4" w:space="0" w:color="auto"/>
            </w:tcBorders>
            <w:shd w:val="clear" w:color="auto" w:fill="auto"/>
            <w:hideMark/>
          </w:tcPr>
          <w:p w14:paraId="5FBB4807"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30</w:t>
            </w:r>
          </w:p>
        </w:tc>
        <w:tc>
          <w:tcPr>
            <w:tcW w:w="560" w:type="dxa"/>
            <w:tcBorders>
              <w:top w:val="nil"/>
              <w:left w:val="nil"/>
              <w:bottom w:val="single" w:sz="4" w:space="0" w:color="auto"/>
              <w:right w:val="single" w:sz="4" w:space="0" w:color="auto"/>
            </w:tcBorders>
            <w:shd w:val="clear" w:color="auto" w:fill="auto"/>
            <w:hideMark/>
          </w:tcPr>
          <w:p w14:paraId="2EC722C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DFT</w:t>
            </w:r>
          </w:p>
        </w:tc>
        <w:tc>
          <w:tcPr>
            <w:tcW w:w="551" w:type="dxa"/>
            <w:tcBorders>
              <w:top w:val="nil"/>
              <w:left w:val="nil"/>
              <w:bottom w:val="single" w:sz="4" w:space="0" w:color="auto"/>
              <w:right w:val="single" w:sz="4" w:space="0" w:color="auto"/>
            </w:tcBorders>
            <w:shd w:val="clear" w:color="auto" w:fill="auto"/>
            <w:hideMark/>
          </w:tcPr>
          <w:p w14:paraId="288D7419"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270</w:t>
            </w:r>
          </w:p>
        </w:tc>
        <w:tc>
          <w:tcPr>
            <w:tcW w:w="844" w:type="dxa"/>
            <w:tcBorders>
              <w:top w:val="nil"/>
              <w:left w:val="nil"/>
              <w:bottom w:val="single" w:sz="4" w:space="0" w:color="auto"/>
              <w:right w:val="single" w:sz="4" w:space="0" w:color="auto"/>
            </w:tcBorders>
            <w:shd w:val="clear" w:color="auto" w:fill="auto"/>
            <w:hideMark/>
          </w:tcPr>
          <w:p w14:paraId="55ABB41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19.9</w:t>
            </w:r>
          </w:p>
        </w:tc>
        <w:tc>
          <w:tcPr>
            <w:tcW w:w="712" w:type="dxa"/>
            <w:tcBorders>
              <w:top w:val="nil"/>
              <w:left w:val="nil"/>
              <w:bottom w:val="single" w:sz="4" w:space="0" w:color="auto"/>
              <w:right w:val="single" w:sz="4" w:space="0" w:color="auto"/>
            </w:tcBorders>
            <w:shd w:val="clear" w:color="auto" w:fill="auto"/>
            <w:hideMark/>
          </w:tcPr>
          <w:p w14:paraId="37284AAB"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0.1</w:t>
            </w:r>
          </w:p>
        </w:tc>
        <w:tc>
          <w:tcPr>
            <w:tcW w:w="835" w:type="dxa"/>
            <w:tcBorders>
              <w:top w:val="nil"/>
              <w:left w:val="nil"/>
              <w:bottom w:val="single" w:sz="4" w:space="0" w:color="auto"/>
              <w:right w:val="single" w:sz="4" w:space="0" w:color="auto"/>
            </w:tcBorders>
            <w:shd w:val="clear" w:color="auto" w:fill="auto"/>
          </w:tcPr>
          <w:p w14:paraId="6F77544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0</w:t>
            </w:r>
          </w:p>
        </w:tc>
        <w:tc>
          <w:tcPr>
            <w:tcW w:w="900" w:type="dxa"/>
            <w:tcBorders>
              <w:top w:val="nil"/>
              <w:left w:val="nil"/>
              <w:bottom w:val="single" w:sz="4" w:space="0" w:color="auto"/>
              <w:right w:val="single" w:sz="4" w:space="0" w:color="auto"/>
            </w:tcBorders>
            <w:shd w:val="clear" w:color="auto" w:fill="auto"/>
            <w:hideMark/>
          </w:tcPr>
          <w:p w14:paraId="4FE939D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c>
          <w:tcPr>
            <w:tcW w:w="540" w:type="dxa"/>
            <w:tcBorders>
              <w:top w:val="nil"/>
              <w:left w:val="nil"/>
              <w:bottom w:val="single" w:sz="4" w:space="0" w:color="auto"/>
              <w:right w:val="single" w:sz="4" w:space="0" w:color="auto"/>
            </w:tcBorders>
            <w:shd w:val="clear" w:color="auto" w:fill="auto"/>
            <w:hideMark/>
          </w:tcPr>
          <w:p w14:paraId="415C549B"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54</w:t>
            </w:r>
          </w:p>
        </w:tc>
        <w:tc>
          <w:tcPr>
            <w:tcW w:w="726" w:type="dxa"/>
            <w:tcBorders>
              <w:top w:val="nil"/>
              <w:left w:val="nil"/>
              <w:bottom w:val="single" w:sz="4" w:space="0" w:color="auto"/>
              <w:right w:val="single" w:sz="4" w:space="0" w:color="auto"/>
            </w:tcBorders>
            <w:shd w:val="clear" w:color="auto" w:fill="auto"/>
            <w:hideMark/>
          </w:tcPr>
          <w:p w14:paraId="0E2688F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17.3</w:t>
            </w:r>
          </w:p>
        </w:tc>
        <w:tc>
          <w:tcPr>
            <w:tcW w:w="714" w:type="dxa"/>
            <w:tcBorders>
              <w:top w:val="nil"/>
              <w:left w:val="nil"/>
              <w:bottom w:val="single" w:sz="4" w:space="0" w:color="auto"/>
              <w:right w:val="single" w:sz="4" w:space="0" w:color="auto"/>
            </w:tcBorders>
            <w:shd w:val="clear" w:color="auto" w:fill="auto"/>
            <w:hideMark/>
          </w:tcPr>
          <w:p w14:paraId="776035BA"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2.7</w:t>
            </w:r>
          </w:p>
        </w:tc>
        <w:tc>
          <w:tcPr>
            <w:tcW w:w="900" w:type="dxa"/>
            <w:tcBorders>
              <w:top w:val="nil"/>
              <w:left w:val="nil"/>
              <w:bottom w:val="single" w:sz="4" w:space="0" w:color="auto"/>
              <w:right w:val="single" w:sz="4" w:space="0" w:color="auto"/>
            </w:tcBorders>
            <w:shd w:val="clear" w:color="auto" w:fill="auto"/>
          </w:tcPr>
          <w:p w14:paraId="559A4B5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w:t>
            </w:r>
          </w:p>
        </w:tc>
        <w:tc>
          <w:tcPr>
            <w:tcW w:w="900" w:type="dxa"/>
            <w:tcBorders>
              <w:top w:val="nil"/>
              <w:left w:val="nil"/>
              <w:bottom w:val="single" w:sz="4" w:space="0" w:color="auto"/>
              <w:right w:val="single" w:sz="4" w:space="0" w:color="auto"/>
            </w:tcBorders>
            <w:shd w:val="clear" w:color="auto" w:fill="auto"/>
            <w:hideMark/>
          </w:tcPr>
          <w:p w14:paraId="1B48C78F"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r>
      <w:tr w:rsidR="005A1B04" w:rsidRPr="005A1B04" w14:paraId="64FD2E81" w14:textId="77777777" w:rsidTr="0044427A">
        <w:trPr>
          <w:trHeight w:val="70"/>
          <w:jc w:val="center"/>
        </w:trPr>
        <w:tc>
          <w:tcPr>
            <w:tcW w:w="567" w:type="dxa"/>
            <w:tcBorders>
              <w:top w:val="nil"/>
              <w:left w:val="single" w:sz="4" w:space="0" w:color="auto"/>
              <w:bottom w:val="single" w:sz="4" w:space="0" w:color="auto"/>
              <w:right w:val="single" w:sz="4" w:space="0" w:color="auto"/>
            </w:tcBorders>
            <w:shd w:val="clear" w:color="auto" w:fill="auto"/>
            <w:hideMark/>
          </w:tcPr>
          <w:p w14:paraId="2A190502"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100</w:t>
            </w:r>
          </w:p>
        </w:tc>
        <w:tc>
          <w:tcPr>
            <w:tcW w:w="536" w:type="dxa"/>
            <w:tcBorders>
              <w:top w:val="nil"/>
              <w:left w:val="nil"/>
              <w:bottom w:val="single" w:sz="4" w:space="0" w:color="auto"/>
              <w:right w:val="single" w:sz="4" w:space="0" w:color="auto"/>
            </w:tcBorders>
            <w:shd w:val="clear" w:color="auto" w:fill="auto"/>
            <w:hideMark/>
          </w:tcPr>
          <w:p w14:paraId="1CE1F1E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30</w:t>
            </w:r>
          </w:p>
        </w:tc>
        <w:tc>
          <w:tcPr>
            <w:tcW w:w="560" w:type="dxa"/>
            <w:tcBorders>
              <w:top w:val="nil"/>
              <w:left w:val="nil"/>
              <w:bottom w:val="single" w:sz="4" w:space="0" w:color="auto"/>
              <w:right w:val="single" w:sz="4" w:space="0" w:color="auto"/>
            </w:tcBorders>
            <w:shd w:val="clear" w:color="auto" w:fill="auto"/>
            <w:hideMark/>
          </w:tcPr>
          <w:p w14:paraId="2308D12E"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CP</w:t>
            </w:r>
          </w:p>
        </w:tc>
        <w:tc>
          <w:tcPr>
            <w:tcW w:w="551" w:type="dxa"/>
            <w:tcBorders>
              <w:top w:val="nil"/>
              <w:left w:val="nil"/>
              <w:bottom w:val="single" w:sz="4" w:space="0" w:color="auto"/>
              <w:right w:val="single" w:sz="4" w:space="0" w:color="auto"/>
            </w:tcBorders>
            <w:shd w:val="clear" w:color="auto" w:fill="auto"/>
            <w:hideMark/>
          </w:tcPr>
          <w:p w14:paraId="244D8B0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273</w:t>
            </w:r>
          </w:p>
        </w:tc>
        <w:tc>
          <w:tcPr>
            <w:tcW w:w="844" w:type="dxa"/>
            <w:tcBorders>
              <w:top w:val="nil"/>
              <w:left w:val="nil"/>
              <w:bottom w:val="single" w:sz="4" w:space="0" w:color="auto"/>
              <w:right w:val="single" w:sz="4" w:space="0" w:color="auto"/>
            </w:tcBorders>
            <w:shd w:val="clear" w:color="auto" w:fill="auto"/>
            <w:hideMark/>
          </w:tcPr>
          <w:p w14:paraId="4DDB8A0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19.9</w:t>
            </w:r>
          </w:p>
        </w:tc>
        <w:tc>
          <w:tcPr>
            <w:tcW w:w="712" w:type="dxa"/>
            <w:tcBorders>
              <w:top w:val="nil"/>
              <w:left w:val="nil"/>
              <w:bottom w:val="single" w:sz="4" w:space="0" w:color="auto"/>
              <w:right w:val="single" w:sz="4" w:space="0" w:color="auto"/>
            </w:tcBorders>
            <w:shd w:val="clear" w:color="auto" w:fill="auto"/>
            <w:hideMark/>
          </w:tcPr>
          <w:p w14:paraId="7A4AD308"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0.1</w:t>
            </w:r>
          </w:p>
        </w:tc>
        <w:tc>
          <w:tcPr>
            <w:tcW w:w="835" w:type="dxa"/>
            <w:tcBorders>
              <w:top w:val="nil"/>
              <w:left w:val="nil"/>
              <w:bottom w:val="single" w:sz="4" w:space="0" w:color="auto"/>
              <w:right w:val="single" w:sz="4" w:space="0" w:color="auto"/>
            </w:tcBorders>
            <w:shd w:val="clear" w:color="auto" w:fill="auto"/>
          </w:tcPr>
          <w:p w14:paraId="3735F9D1"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0</w:t>
            </w:r>
          </w:p>
        </w:tc>
        <w:tc>
          <w:tcPr>
            <w:tcW w:w="900" w:type="dxa"/>
            <w:tcBorders>
              <w:top w:val="nil"/>
              <w:left w:val="nil"/>
              <w:bottom w:val="single" w:sz="4" w:space="0" w:color="auto"/>
              <w:right w:val="single" w:sz="4" w:space="0" w:color="auto"/>
            </w:tcBorders>
            <w:shd w:val="clear" w:color="auto" w:fill="auto"/>
            <w:hideMark/>
          </w:tcPr>
          <w:p w14:paraId="2CBDA4E3"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c>
          <w:tcPr>
            <w:tcW w:w="540" w:type="dxa"/>
            <w:tcBorders>
              <w:top w:val="nil"/>
              <w:left w:val="nil"/>
              <w:bottom w:val="single" w:sz="4" w:space="0" w:color="auto"/>
              <w:right w:val="single" w:sz="4" w:space="0" w:color="auto"/>
            </w:tcBorders>
            <w:shd w:val="clear" w:color="auto" w:fill="auto"/>
            <w:hideMark/>
          </w:tcPr>
          <w:p w14:paraId="026B69C4"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55</w:t>
            </w:r>
          </w:p>
        </w:tc>
        <w:tc>
          <w:tcPr>
            <w:tcW w:w="726" w:type="dxa"/>
            <w:tcBorders>
              <w:top w:val="nil"/>
              <w:left w:val="nil"/>
              <w:bottom w:val="single" w:sz="4" w:space="0" w:color="auto"/>
              <w:right w:val="single" w:sz="4" w:space="0" w:color="auto"/>
            </w:tcBorders>
            <w:shd w:val="clear" w:color="auto" w:fill="auto"/>
            <w:hideMark/>
          </w:tcPr>
          <w:p w14:paraId="6DC53AC0"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17.4</w:t>
            </w:r>
          </w:p>
        </w:tc>
        <w:tc>
          <w:tcPr>
            <w:tcW w:w="714" w:type="dxa"/>
            <w:tcBorders>
              <w:top w:val="nil"/>
              <w:left w:val="nil"/>
              <w:bottom w:val="single" w:sz="4" w:space="0" w:color="auto"/>
              <w:right w:val="single" w:sz="4" w:space="0" w:color="auto"/>
            </w:tcBorders>
            <w:shd w:val="clear" w:color="auto" w:fill="auto"/>
            <w:hideMark/>
          </w:tcPr>
          <w:p w14:paraId="426BBA95"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2.6</w:t>
            </w:r>
          </w:p>
        </w:tc>
        <w:tc>
          <w:tcPr>
            <w:tcW w:w="900" w:type="dxa"/>
            <w:tcBorders>
              <w:top w:val="nil"/>
              <w:left w:val="nil"/>
              <w:bottom w:val="single" w:sz="4" w:space="0" w:color="auto"/>
              <w:right w:val="single" w:sz="4" w:space="0" w:color="auto"/>
            </w:tcBorders>
            <w:shd w:val="clear" w:color="auto" w:fill="auto"/>
          </w:tcPr>
          <w:p w14:paraId="259C929C"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1</w:t>
            </w:r>
          </w:p>
        </w:tc>
        <w:tc>
          <w:tcPr>
            <w:tcW w:w="900" w:type="dxa"/>
            <w:tcBorders>
              <w:top w:val="nil"/>
              <w:left w:val="nil"/>
              <w:bottom w:val="single" w:sz="4" w:space="0" w:color="auto"/>
              <w:right w:val="single" w:sz="4" w:space="0" w:color="auto"/>
            </w:tcBorders>
            <w:shd w:val="clear" w:color="auto" w:fill="auto"/>
            <w:hideMark/>
          </w:tcPr>
          <w:p w14:paraId="02B14052" w14:textId="77777777" w:rsidR="005A1B04" w:rsidRPr="005A1B04" w:rsidRDefault="005A1B04" w:rsidP="005A1B04">
            <w:pPr>
              <w:overflowPunct/>
              <w:autoSpaceDE/>
              <w:autoSpaceDN/>
              <w:adjustRightInd/>
              <w:spacing w:after="0"/>
              <w:textAlignment w:val="auto"/>
              <w:rPr>
                <w:rFonts w:ascii="Calibri" w:hAnsi="Calibri"/>
                <w:sz w:val="22"/>
                <w:szCs w:val="22"/>
              </w:rPr>
            </w:pPr>
            <w:r w:rsidRPr="005A1B04">
              <w:rPr>
                <w:rFonts w:ascii="Calibri" w:hAnsi="Calibri"/>
                <w:sz w:val="22"/>
                <w:szCs w:val="22"/>
              </w:rPr>
              <w:t>6</w:t>
            </w:r>
          </w:p>
        </w:tc>
      </w:tr>
    </w:tbl>
    <w:p w14:paraId="073AF397" w14:textId="12BE48D8" w:rsidR="00BF6CD3" w:rsidRPr="00F808FE" w:rsidRDefault="00F808FE" w:rsidP="00F808FE">
      <w:pPr>
        <w:pStyle w:val="Caption"/>
        <w:keepNext/>
        <w:spacing w:after="0"/>
        <w:rPr>
          <w:rFonts w:eastAsia="Yu Mincho"/>
          <w:lang w:val="en-CA" w:eastAsia="ja-JP"/>
        </w:rPr>
      </w:pPr>
      <w:r w:rsidRPr="00F808FE">
        <w:rPr>
          <w:rFonts w:eastAsia="Yu Mincho"/>
          <w:lang w:val="en-CA" w:eastAsia="ja-JP"/>
        </w:rPr>
        <w:t>Observations:</w:t>
      </w:r>
    </w:p>
    <w:p w14:paraId="28FD457C" w14:textId="4F28266F" w:rsidR="00F808FE" w:rsidRDefault="00F808FE" w:rsidP="00F808FE">
      <w:pPr>
        <w:pStyle w:val="ListParagraph"/>
        <w:numPr>
          <w:ilvl w:val="0"/>
          <w:numId w:val="34"/>
        </w:numPr>
        <w:rPr>
          <w:rFonts w:eastAsia="Yu Mincho"/>
          <w:b/>
          <w:lang w:val="en-CA" w:eastAsia="ja-JP"/>
        </w:rPr>
      </w:pPr>
      <w:r w:rsidRPr="00F808FE">
        <w:rPr>
          <w:rFonts w:eastAsia="Yu Mincho"/>
          <w:b/>
          <w:lang w:val="en-CA" w:eastAsia="ja-JP"/>
        </w:rPr>
        <w:t>Cases with 6dB A-MPR for VLP are limited by 14dBm EIRP</w:t>
      </w:r>
      <w:r>
        <w:rPr>
          <w:rFonts w:eastAsia="Yu Mincho"/>
          <w:b/>
          <w:lang w:val="en-CA" w:eastAsia="ja-JP"/>
        </w:rPr>
        <w:t>: channel BW&gt; 20MHz</w:t>
      </w:r>
    </w:p>
    <w:p w14:paraId="46A6A13C" w14:textId="2A2892A7" w:rsidR="00F808FE" w:rsidRPr="00F808FE" w:rsidRDefault="00F808FE" w:rsidP="00F808FE">
      <w:pPr>
        <w:pStyle w:val="ListParagraph"/>
        <w:numPr>
          <w:ilvl w:val="0"/>
          <w:numId w:val="34"/>
        </w:numPr>
        <w:rPr>
          <w:rFonts w:eastAsia="Yu Mincho"/>
          <w:b/>
          <w:lang w:val="en-CA" w:eastAsia="ja-JP"/>
        </w:rPr>
      </w:pPr>
      <w:r>
        <w:rPr>
          <w:rFonts w:eastAsia="Yu Mincho"/>
          <w:b/>
          <w:lang w:val="en-CA" w:eastAsia="ja-JP"/>
        </w:rPr>
        <w:t>LPI EIRP is limited by in-band PSD except for 80 and 100 MHz fully allocated channel bandwidths where the maximum power is achievable</w:t>
      </w:r>
      <w:r w:rsidR="00E67F10">
        <w:rPr>
          <w:rFonts w:eastAsia="Yu Mincho"/>
          <w:b/>
          <w:lang w:val="en-CA" w:eastAsia="ja-JP"/>
        </w:rPr>
        <w:t>.</w:t>
      </w:r>
    </w:p>
    <w:p w14:paraId="6FBD4B5E" w14:textId="069BCD48" w:rsidR="00F808FE" w:rsidRDefault="00625D0F" w:rsidP="00625D0F">
      <w:pPr>
        <w:spacing w:after="0"/>
        <w:rPr>
          <w:rFonts w:eastAsia="Yu Mincho"/>
          <w:b/>
          <w:lang w:val="en-CA" w:eastAsia="ja-JP"/>
        </w:rPr>
      </w:pPr>
      <w:r>
        <w:rPr>
          <w:rFonts w:eastAsia="Yu Mincho"/>
          <w:b/>
          <w:lang w:val="en-CA" w:eastAsia="ja-JP"/>
        </w:rPr>
        <w:t xml:space="preserve">Proposal </w:t>
      </w:r>
      <w:r w:rsidR="00B337C2">
        <w:rPr>
          <w:rFonts w:eastAsia="Yu Mincho"/>
          <w:b/>
          <w:lang w:val="en-CA" w:eastAsia="ja-JP"/>
        </w:rPr>
        <w:t xml:space="preserve">for </w:t>
      </w:r>
      <w:r>
        <w:rPr>
          <w:rFonts w:eastAsia="Yu Mincho"/>
          <w:b/>
          <w:lang w:val="en-CA" w:eastAsia="ja-JP"/>
        </w:rPr>
        <w:t>QPSK PC5 A-MPR for LPI and VLP modes in Korea:</w:t>
      </w:r>
    </w:p>
    <w:p w14:paraId="52D17077" w14:textId="41EA5F33" w:rsidR="00625D0F" w:rsidRDefault="00625D0F" w:rsidP="00625D0F">
      <w:pPr>
        <w:pStyle w:val="ListParagraph"/>
        <w:numPr>
          <w:ilvl w:val="0"/>
          <w:numId w:val="35"/>
        </w:numPr>
        <w:rPr>
          <w:rFonts w:eastAsia="Yu Mincho"/>
          <w:b/>
          <w:lang w:val="en-CA" w:eastAsia="ja-JP"/>
        </w:rPr>
      </w:pPr>
      <w:r>
        <w:rPr>
          <w:rFonts w:eastAsia="Yu Mincho"/>
          <w:b/>
          <w:lang w:val="en-CA" w:eastAsia="ja-JP"/>
        </w:rPr>
        <w:lastRenderedPageBreak/>
        <w:t>Specific NS are allocated to Korea LPI and VLP modes for PC5</w:t>
      </w:r>
    </w:p>
    <w:p w14:paraId="57530377" w14:textId="2CE5987C" w:rsidR="00625D0F" w:rsidRDefault="00625D0F" w:rsidP="00625D0F">
      <w:pPr>
        <w:pStyle w:val="ListParagraph"/>
        <w:numPr>
          <w:ilvl w:val="0"/>
          <w:numId w:val="35"/>
        </w:numPr>
        <w:rPr>
          <w:rFonts w:eastAsia="Yu Mincho"/>
          <w:b/>
          <w:lang w:val="en-CA" w:eastAsia="ja-JP"/>
        </w:rPr>
      </w:pPr>
      <w:r>
        <w:rPr>
          <w:rFonts w:eastAsia="Yu Mincho"/>
          <w:b/>
          <w:lang w:val="en-CA" w:eastAsia="ja-JP"/>
        </w:rPr>
        <w:t>A-MPR for channels where OOB requirements are not limiting should be specified with:</w:t>
      </w:r>
    </w:p>
    <w:p w14:paraId="52BCB7D7" w14:textId="393707F7" w:rsidR="00625D0F" w:rsidRDefault="00625D0F" w:rsidP="00625D0F">
      <w:pPr>
        <w:pStyle w:val="ListParagraph"/>
        <w:numPr>
          <w:ilvl w:val="1"/>
          <w:numId w:val="35"/>
        </w:numPr>
        <w:rPr>
          <w:rFonts w:eastAsia="Yu Mincho"/>
          <w:b/>
          <w:lang w:val="en-CA" w:eastAsia="ja-JP"/>
        </w:rPr>
      </w:pPr>
      <w:r>
        <w:rPr>
          <w:rFonts w:eastAsia="Yu Mincho"/>
          <w:b/>
          <w:lang w:val="en-CA" w:eastAsia="ja-JP"/>
        </w:rPr>
        <w:t>9dB AMPR for VLP mode 20MHz CBW partial allocations</w:t>
      </w:r>
    </w:p>
    <w:p w14:paraId="3BA7D287" w14:textId="0F3958FD" w:rsidR="00625D0F" w:rsidRDefault="00625D0F" w:rsidP="00625D0F">
      <w:pPr>
        <w:pStyle w:val="ListParagraph"/>
        <w:numPr>
          <w:ilvl w:val="1"/>
          <w:numId w:val="35"/>
        </w:numPr>
        <w:rPr>
          <w:rFonts w:eastAsia="Yu Mincho"/>
          <w:b/>
          <w:lang w:val="en-CA" w:eastAsia="ja-JP"/>
        </w:rPr>
      </w:pPr>
      <w:r>
        <w:rPr>
          <w:rFonts w:eastAsia="Yu Mincho"/>
          <w:b/>
          <w:lang w:val="en-CA" w:eastAsia="ja-JP"/>
        </w:rPr>
        <w:t>6.5 dB AMPR for VLP mode 20MHz CBW full allocations</w:t>
      </w:r>
    </w:p>
    <w:p w14:paraId="17BF1865" w14:textId="19179836" w:rsidR="00625D0F" w:rsidRDefault="00625D0F" w:rsidP="00625D0F">
      <w:pPr>
        <w:pStyle w:val="ListParagraph"/>
        <w:numPr>
          <w:ilvl w:val="1"/>
          <w:numId w:val="35"/>
        </w:numPr>
        <w:rPr>
          <w:rFonts w:eastAsia="Yu Mincho"/>
          <w:b/>
          <w:lang w:val="en-CA" w:eastAsia="ja-JP"/>
        </w:rPr>
      </w:pPr>
      <w:r>
        <w:rPr>
          <w:rFonts w:eastAsia="Yu Mincho"/>
          <w:b/>
          <w:lang w:val="en-CA" w:eastAsia="ja-JP"/>
        </w:rPr>
        <w:t>6dB A-MPR for VLP full and partial allocations for CBW&gt;20MHz</w:t>
      </w:r>
    </w:p>
    <w:p w14:paraId="7F179DAB" w14:textId="71D3683F" w:rsidR="00625D0F" w:rsidRDefault="00625D0F" w:rsidP="00625D0F">
      <w:pPr>
        <w:pStyle w:val="ListParagraph"/>
        <w:numPr>
          <w:ilvl w:val="1"/>
          <w:numId w:val="35"/>
        </w:numPr>
        <w:rPr>
          <w:rFonts w:eastAsia="Yu Mincho"/>
          <w:b/>
          <w:lang w:val="en-CA" w:eastAsia="ja-JP"/>
        </w:rPr>
      </w:pPr>
      <w:r>
        <w:rPr>
          <w:rFonts w:eastAsia="Yu Mincho"/>
          <w:b/>
          <w:lang w:val="en-CA" w:eastAsia="ja-JP"/>
        </w:rPr>
        <w:t>For PLI mode:</w:t>
      </w:r>
    </w:p>
    <w:p w14:paraId="037E698D" w14:textId="6447B559" w:rsidR="00625D0F" w:rsidRPr="00625D0F" w:rsidRDefault="00625D0F" w:rsidP="00625D0F">
      <w:pPr>
        <w:pStyle w:val="ListParagraph"/>
        <w:numPr>
          <w:ilvl w:val="2"/>
          <w:numId w:val="35"/>
        </w:numPr>
        <w:rPr>
          <w:rFonts w:eastAsia="Yu Mincho"/>
          <w:b/>
          <w:lang w:val="en-CA" w:eastAsia="ja-JP"/>
        </w:rPr>
      </w:pPr>
      <w:r>
        <w:rPr>
          <w:rFonts w:eastAsia="Yu Mincho"/>
          <w:b/>
          <w:lang w:val="en-CA" w:eastAsia="ja-JP"/>
        </w:rPr>
        <w:t>A-MPR is max(MPR , A-MPR)</w:t>
      </w:r>
    </w:p>
    <w:p w14:paraId="4DA21F4E" w14:textId="27FE313E" w:rsidR="00625D0F" w:rsidRPr="00625D0F" w:rsidRDefault="00625D0F" w:rsidP="00625D0F">
      <w:pPr>
        <w:pStyle w:val="ListParagraph"/>
        <w:numPr>
          <w:ilvl w:val="2"/>
          <w:numId w:val="35"/>
        </w:numPr>
        <w:rPr>
          <w:rFonts w:eastAsia="Yu Mincho"/>
          <w:b/>
          <w:lang w:val="en-CA" w:eastAsia="ja-JP"/>
        </w:rPr>
      </w:pPr>
      <w:r>
        <w:rPr>
          <w:rFonts w:eastAsia="Yu Mincho"/>
          <w:b/>
          <w:lang w:val="en-CA" w:eastAsia="ja-JP"/>
        </w:rPr>
        <w:t>AMPR for 20MHz CBW is 5.5 dB for full and 8dB for partial allocations</w:t>
      </w:r>
    </w:p>
    <w:p w14:paraId="5884CDE2" w14:textId="5B439BE5" w:rsidR="00625D0F" w:rsidRPr="00625D0F" w:rsidRDefault="00625D0F" w:rsidP="00625D0F">
      <w:pPr>
        <w:pStyle w:val="ListParagraph"/>
        <w:numPr>
          <w:ilvl w:val="2"/>
          <w:numId w:val="35"/>
        </w:numPr>
        <w:rPr>
          <w:rFonts w:eastAsia="Yu Mincho"/>
          <w:b/>
          <w:lang w:val="en-CA" w:eastAsia="ja-JP"/>
        </w:rPr>
      </w:pPr>
      <w:r>
        <w:rPr>
          <w:rFonts w:eastAsia="Yu Mincho"/>
          <w:b/>
          <w:lang w:val="en-CA" w:eastAsia="ja-JP"/>
        </w:rPr>
        <w:t>AMPR for 40MHz CBW is 2.5 dB for full and 5dB for partial allocations</w:t>
      </w:r>
    </w:p>
    <w:p w14:paraId="79DB3476" w14:textId="35523155" w:rsidR="00625D0F" w:rsidRPr="00625D0F" w:rsidRDefault="00625D0F" w:rsidP="00625D0F">
      <w:pPr>
        <w:pStyle w:val="ListParagraph"/>
        <w:numPr>
          <w:ilvl w:val="2"/>
          <w:numId w:val="35"/>
        </w:numPr>
        <w:rPr>
          <w:rFonts w:eastAsia="Yu Mincho"/>
          <w:b/>
          <w:lang w:val="en-CA" w:eastAsia="ja-JP"/>
        </w:rPr>
      </w:pPr>
      <w:r>
        <w:rPr>
          <w:rFonts w:eastAsia="Yu Mincho"/>
          <w:b/>
          <w:lang w:val="en-CA" w:eastAsia="ja-JP"/>
        </w:rPr>
        <w:t>AMPR for 60MHz CBW is 0 dB for full and 3dB for partial allocations</w:t>
      </w:r>
    </w:p>
    <w:p w14:paraId="69787924" w14:textId="718EE748" w:rsidR="00625D0F" w:rsidRPr="00625D0F" w:rsidRDefault="00625D0F" w:rsidP="00625D0F">
      <w:pPr>
        <w:pStyle w:val="ListParagraph"/>
        <w:numPr>
          <w:ilvl w:val="2"/>
          <w:numId w:val="35"/>
        </w:numPr>
        <w:rPr>
          <w:rFonts w:eastAsia="Yu Mincho"/>
          <w:b/>
          <w:lang w:val="en-CA" w:eastAsia="ja-JP"/>
        </w:rPr>
      </w:pPr>
      <w:r>
        <w:rPr>
          <w:rFonts w:eastAsia="Yu Mincho"/>
          <w:b/>
          <w:lang w:val="en-CA" w:eastAsia="ja-JP"/>
        </w:rPr>
        <w:t>AMPR for CBW &gt; 60MHz is 0 dB for full and partial allocations</w:t>
      </w:r>
      <w:r w:rsidR="00E67F10">
        <w:rPr>
          <w:rFonts w:eastAsia="Yu Mincho"/>
          <w:b/>
          <w:lang w:val="en-CA" w:eastAsia="ja-JP"/>
        </w:rPr>
        <w:t>.</w:t>
      </w:r>
    </w:p>
    <w:p w14:paraId="7CA1ADF5" w14:textId="1B064D3F" w:rsidR="00951B62" w:rsidRDefault="00FC253B" w:rsidP="00951B62">
      <w:pPr>
        <w:pStyle w:val="Heading2"/>
        <w:spacing w:after="240"/>
        <w:rPr>
          <w:lang w:eastAsia="zh-CN"/>
        </w:rPr>
      </w:pPr>
      <w:r>
        <w:rPr>
          <w:lang w:eastAsia="zh-CN"/>
        </w:rPr>
        <w:t>Dedicated VLP power class</w:t>
      </w:r>
    </w:p>
    <w:p w14:paraId="65E9BC64" w14:textId="124BB476" w:rsidR="00233402" w:rsidRDefault="00376BF2" w:rsidP="002A3E7C">
      <w:pPr>
        <w:spacing w:after="0"/>
        <w:rPr>
          <w:lang w:eastAsia="zh-CN"/>
        </w:rPr>
      </w:pPr>
      <w:r>
        <w:rPr>
          <w:lang w:eastAsia="zh-CN"/>
        </w:rPr>
        <w:t>A new NR-u 14dBm power class is suggested in [1]</w:t>
      </w:r>
      <w:r w:rsidR="00E67F10">
        <w:rPr>
          <w:lang w:eastAsia="zh-CN"/>
        </w:rPr>
        <w:t>,</w:t>
      </w:r>
      <w:r>
        <w:rPr>
          <w:lang w:eastAsia="zh-CN"/>
        </w:rPr>
        <w:t xml:space="preserve"> but it does not provide clear input linearity calibration level, for example MPR value for a given allocation.</w:t>
      </w:r>
    </w:p>
    <w:p w14:paraId="36BDD955" w14:textId="77777777" w:rsidR="00376BF2" w:rsidRDefault="00376BF2" w:rsidP="002A3E7C">
      <w:pPr>
        <w:spacing w:after="0"/>
        <w:rPr>
          <w:lang w:eastAsia="zh-CN"/>
        </w:rPr>
      </w:pPr>
    </w:p>
    <w:p w14:paraId="492D7856" w14:textId="5563A58C" w:rsidR="00376BF2" w:rsidRDefault="00376BF2" w:rsidP="002A3E7C">
      <w:pPr>
        <w:spacing w:after="0"/>
        <w:rPr>
          <w:lang w:eastAsia="zh-CN"/>
        </w:rPr>
      </w:pPr>
      <w:r>
        <w:rPr>
          <w:lang w:eastAsia="zh-CN"/>
        </w:rPr>
        <w:t>In our understanding, such lower power class can only be limited by SEM as this is already the case for PC5 and this lower power class should be able to use lower ACLR levels.</w:t>
      </w:r>
    </w:p>
    <w:p w14:paraId="706E5FF1" w14:textId="77777777" w:rsidR="00376BF2" w:rsidRDefault="00376BF2" w:rsidP="002A3E7C">
      <w:pPr>
        <w:spacing w:after="0"/>
        <w:rPr>
          <w:lang w:eastAsia="zh-CN"/>
        </w:rPr>
      </w:pPr>
    </w:p>
    <w:p w14:paraId="6AD2D595" w14:textId="57E2B495" w:rsidR="00376BF2" w:rsidRDefault="00376BF2" w:rsidP="002A3E7C">
      <w:pPr>
        <w:spacing w:after="0"/>
        <w:rPr>
          <w:lang w:eastAsia="zh-CN"/>
        </w:rPr>
      </w:pPr>
      <w:r>
        <w:rPr>
          <w:lang w:eastAsia="zh-CN"/>
        </w:rPr>
        <w:t>In PC5 we have adopted a 1dB MPR for 20MHz 100RB3 DFT-s-OFDM QPSK waveform which results in 3.5dB MPR for CP-OFDM QPSK waveforms.</w:t>
      </w:r>
    </w:p>
    <w:p w14:paraId="65786C61" w14:textId="77777777" w:rsidR="00376BF2" w:rsidRDefault="00376BF2" w:rsidP="002A3E7C">
      <w:pPr>
        <w:spacing w:after="0"/>
        <w:rPr>
          <w:lang w:eastAsia="zh-CN"/>
        </w:rPr>
      </w:pPr>
    </w:p>
    <w:p w14:paraId="2F368ED3" w14:textId="10BAF97F" w:rsidR="00376BF2" w:rsidRDefault="00376BF2" w:rsidP="002A3E7C">
      <w:pPr>
        <w:spacing w:after="0"/>
        <w:rPr>
          <w:lang w:eastAsia="zh-CN"/>
        </w:rPr>
      </w:pPr>
      <w:r>
        <w:rPr>
          <w:lang w:eastAsia="zh-CN"/>
        </w:rPr>
        <w:t>If a new lower power class is adopted, it would be beneficial that the linearity of the PA enables low MPR for both DFT-s-</w:t>
      </w:r>
      <w:r w:rsidR="00B337C2">
        <w:rPr>
          <w:lang w:eastAsia="zh-CN"/>
        </w:rPr>
        <w:t>OFDM and CP-OFDM QPSK waveforms for all VLP cases for n46 and n102 for which 1dBm/MHz and 14dBm EIRP is the highest requirement.</w:t>
      </w:r>
    </w:p>
    <w:p w14:paraId="50EEAD7B" w14:textId="77777777" w:rsidR="00B337C2" w:rsidRDefault="00B337C2" w:rsidP="002A3E7C">
      <w:pPr>
        <w:spacing w:after="0"/>
        <w:rPr>
          <w:lang w:eastAsia="zh-CN"/>
        </w:rPr>
      </w:pPr>
    </w:p>
    <w:p w14:paraId="02A6F713" w14:textId="767AE83E" w:rsidR="00503472" w:rsidRDefault="006D0E1E" w:rsidP="006D0E1E">
      <w:pPr>
        <w:spacing w:after="0"/>
        <w:rPr>
          <w:rFonts w:eastAsia="SimSun"/>
          <w:b/>
          <w:lang w:eastAsia="zh-CN"/>
        </w:rPr>
      </w:pPr>
      <w:r w:rsidRPr="006D0E1E">
        <w:rPr>
          <w:rFonts w:eastAsia="SimSun"/>
          <w:b/>
          <w:lang w:eastAsia="zh-CN"/>
        </w:rPr>
        <w:t xml:space="preserve">Proposal for </w:t>
      </w:r>
      <w:r w:rsidR="00B337C2">
        <w:rPr>
          <w:rFonts w:eastAsia="SimSun"/>
          <w:b/>
          <w:lang w:eastAsia="zh-CN"/>
        </w:rPr>
        <w:t>VLP power class target if introduced</w:t>
      </w:r>
      <w:r w:rsidRPr="006D0E1E">
        <w:rPr>
          <w:rFonts w:eastAsia="SimSun"/>
          <w:b/>
          <w:lang w:eastAsia="zh-CN"/>
        </w:rPr>
        <w:t xml:space="preserve">: </w:t>
      </w:r>
    </w:p>
    <w:p w14:paraId="36F4C941" w14:textId="4EE008E1" w:rsidR="006D0E1E" w:rsidRPr="00B676B6" w:rsidRDefault="00B337C2" w:rsidP="00503472">
      <w:pPr>
        <w:pStyle w:val="ListParagraph"/>
        <w:numPr>
          <w:ilvl w:val="0"/>
          <w:numId w:val="32"/>
        </w:numPr>
        <w:spacing w:after="0"/>
        <w:rPr>
          <w:b/>
          <w:lang w:eastAsia="zh-CN"/>
        </w:rPr>
      </w:pPr>
      <w:r>
        <w:rPr>
          <w:b/>
          <w:lang w:eastAsia="zh-CN"/>
        </w:rPr>
        <w:t>0dB MPR for 20MHz 100RB0 DFT-s-OFDM QPSK waveform</w:t>
      </w:r>
    </w:p>
    <w:p w14:paraId="5B0F5E16" w14:textId="70BBA809" w:rsidR="006D0E1E" w:rsidRDefault="00B337C2" w:rsidP="006D0E1E">
      <w:pPr>
        <w:pStyle w:val="ListParagraph"/>
        <w:numPr>
          <w:ilvl w:val="0"/>
          <w:numId w:val="32"/>
        </w:numPr>
        <w:spacing w:after="0"/>
        <w:rPr>
          <w:b/>
          <w:lang w:eastAsia="zh-CN"/>
        </w:rPr>
      </w:pPr>
      <w:r>
        <w:rPr>
          <w:b/>
          <w:lang w:eastAsia="zh-CN"/>
        </w:rPr>
        <w:t>&lt;1.5dB MPR for 20MHz 100RB0 CP-OFDM QPSK waveform</w:t>
      </w:r>
    </w:p>
    <w:p w14:paraId="03CCD317" w14:textId="7D56DDB8" w:rsidR="00B337C2" w:rsidRPr="00B337C2" w:rsidRDefault="00B337C2" w:rsidP="006D0E1E">
      <w:pPr>
        <w:pStyle w:val="ListParagraph"/>
        <w:numPr>
          <w:ilvl w:val="0"/>
          <w:numId w:val="32"/>
        </w:numPr>
        <w:spacing w:after="0"/>
        <w:rPr>
          <w:b/>
          <w:lang w:eastAsia="zh-CN"/>
        </w:rPr>
      </w:pPr>
      <w:r>
        <w:rPr>
          <w:b/>
          <w:lang w:eastAsia="zh-CN"/>
        </w:rPr>
        <w:t>A-MPR should be based on this PA calibration</w:t>
      </w:r>
      <w:r w:rsidR="00E67F10">
        <w:rPr>
          <w:b/>
          <w:lang w:eastAsia="zh-CN"/>
        </w:rPr>
        <w:t>.</w:t>
      </w:r>
    </w:p>
    <w:p w14:paraId="7BE54F94" w14:textId="77777777" w:rsidR="00305289" w:rsidRDefault="00305289" w:rsidP="00305289">
      <w:pPr>
        <w:pStyle w:val="Heading1"/>
      </w:pPr>
      <w:r>
        <w:t>Conclusions</w:t>
      </w:r>
    </w:p>
    <w:p w14:paraId="3C251E6A" w14:textId="2F7A6C5C" w:rsidR="006E4FCE" w:rsidRDefault="00305289" w:rsidP="00FE650D">
      <w:pPr>
        <w:spacing w:after="0"/>
        <w:jc w:val="both"/>
      </w:pPr>
      <w:r>
        <w:t xml:space="preserve">In this contribution, </w:t>
      </w:r>
      <w:r w:rsidR="009B4F03">
        <w:t xml:space="preserve">we </w:t>
      </w:r>
      <w:r w:rsidR="00B337C2">
        <w:t>calculate</w:t>
      </w:r>
      <w:r w:rsidR="00A562EF">
        <w:t xml:space="preserve"> </w:t>
      </w:r>
      <w:r w:rsidR="00503472">
        <w:t xml:space="preserve">the </w:t>
      </w:r>
      <w:r w:rsidR="00B337C2">
        <w:t>A-MPR for LPI and VLP modes in Korea for channels away from the band edge that are not subject to OOB emission requirements and make the following proposals.</w:t>
      </w:r>
    </w:p>
    <w:p w14:paraId="3092A32B" w14:textId="77777777" w:rsidR="00610CD6" w:rsidRDefault="00610CD6" w:rsidP="00FE650D">
      <w:pPr>
        <w:spacing w:after="0"/>
        <w:jc w:val="both"/>
      </w:pPr>
    </w:p>
    <w:p w14:paraId="555A5E4C" w14:textId="77777777" w:rsidR="00B337C2" w:rsidRDefault="00B337C2" w:rsidP="00B337C2">
      <w:pPr>
        <w:spacing w:after="0"/>
        <w:rPr>
          <w:rFonts w:eastAsia="Yu Mincho"/>
          <w:b/>
          <w:lang w:val="en-CA" w:eastAsia="ja-JP"/>
        </w:rPr>
      </w:pPr>
      <w:r>
        <w:rPr>
          <w:rFonts w:eastAsia="Yu Mincho"/>
          <w:b/>
          <w:lang w:val="en-CA" w:eastAsia="ja-JP"/>
        </w:rPr>
        <w:t>Proposal for QPSK PC5 A-MPR for LPI and VLP modes in Korea:</w:t>
      </w:r>
    </w:p>
    <w:p w14:paraId="06E06759" w14:textId="77777777" w:rsidR="00B337C2" w:rsidRDefault="00B337C2" w:rsidP="00B337C2">
      <w:pPr>
        <w:pStyle w:val="ListParagraph"/>
        <w:numPr>
          <w:ilvl w:val="0"/>
          <w:numId w:val="35"/>
        </w:numPr>
        <w:rPr>
          <w:rFonts w:eastAsia="Yu Mincho"/>
          <w:b/>
          <w:lang w:val="en-CA" w:eastAsia="ja-JP"/>
        </w:rPr>
      </w:pPr>
      <w:r>
        <w:rPr>
          <w:rFonts w:eastAsia="Yu Mincho"/>
          <w:b/>
          <w:lang w:val="en-CA" w:eastAsia="ja-JP"/>
        </w:rPr>
        <w:t>Specific NS are allocated to Korea LPI and VLP modes for PC5</w:t>
      </w:r>
    </w:p>
    <w:p w14:paraId="69E97DB9" w14:textId="77777777" w:rsidR="00B337C2" w:rsidRDefault="00B337C2" w:rsidP="00B337C2">
      <w:pPr>
        <w:pStyle w:val="ListParagraph"/>
        <w:numPr>
          <w:ilvl w:val="0"/>
          <w:numId w:val="35"/>
        </w:numPr>
        <w:rPr>
          <w:rFonts w:eastAsia="Yu Mincho"/>
          <w:b/>
          <w:lang w:val="en-CA" w:eastAsia="ja-JP"/>
        </w:rPr>
      </w:pPr>
      <w:r>
        <w:rPr>
          <w:rFonts w:eastAsia="Yu Mincho"/>
          <w:b/>
          <w:lang w:val="en-CA" w:eastAsia="ja-JP"/>
        </w:rPr>
        <w:t>A-MPR for channels where OOB requirements are not limiting should be specified with:</w:t>
      </w:r>
    </w:p>
    <w:p w14:paraId="3D890B7B" w14:textId="77777777" w:rsidR="00B337C2" w:rsidRDefault="00B337C2" w:rsidP="00B337C2">
      <w:pPr>
        <w:pStyle w:val="ListParagraph"/>
        <w:numPr>
          <w:ilvl w:val="1"/>
          <w:numId w:val="35"/>
        </w:numPr>
        <w:rPr>
          <w:rFonts w:eastAsia="Yu Mincho"/>
          <w:b/>
          <w:lang w:val="en-CA" w:eastAsia="ja-JP"/>
        </w:rPr>
      </w:pPr>
      <w:r>
        <w:rPr>
          <w:rFonts w:eastAsia="Yu Mincho"/>
          <w:b/>
          <w:lang w:val="en-CA" w:eastAsia="ja-JP"/>
        </w:rPr>
        <w:t>9dB AMPR for VLP mode 20MHz CBW partial allocations</w:t>
      </w:r>
    </w:p>
    <w:p w14:paraId="4D8A4F64" w14:textId="77777777" w:rsidR="00B337C2" w:rsidRDefault="00B337C2" w:rsidP="00B337C2">
      <w:pPr>
        <w:pStyle w:val="ListParagraph"/>
        <w:numPr>
          <w:ilvl w:val="1"/>
          <w:numId w:val="35"/>
        </w:numPr>
        <w:rPr>
          <w:rFonts w:eastAsia="Yu Mincho"/>
          <w:b/>
          <w:lang w:val="en-CA" w:eastAsia="ja-JP"/>
        </w:rPr>
      </w:pPr>
      <w:r>
        <w:rPr>
          <w:rFonts w:eastAsia="Yu Mincho"/>
          <w:b/>
          <w:lang w:val="en-CA" w:eastAsia="ja-JP"/>
        </w:rPr>
        <w:t>6.5 dB AMPR for VLP mode 20MHz CBW full allocations</w:t>
      </w:r>
    </w:p>
    <w:p w14:paraId="4E1483C6" w14:textId="77777777" w:rsidR="00B337C2" w:rsidRDefault="00B337C2" w:rsidP="00B337C2">
      <w:pPr>
        <w:pStyle w:val="ListParagraph"/>
        <w:numPr>
          <w:ilvl w:val="1"/>
          <w:numId w:val="35"/>
        </w:numPr>
        <w:rPr>
          <w:rFonts w:eastAsia="Yu Mincho"/>
          <w:b/>
          <w:lang w:val="en-CA" w:eastAsia="ja-JP"/>
        </w:rPr>
      </w:pPr>
      <w:r>
        <w:rPr>
          <w:rFonts w:eastAsia="Yu Mincho"/>
          <w:b/>
          <w:lang w:val="en-CA" w:eastAsia="ja-JP"/>
        </w:rPr>
        <w:t>6dB A-MPR for VLP full and partial allocations for CBW&gt;20MHz</w:t>
      </w:r>
    </w:p>
    <w:p w14:paraId="0410119C" w14:textId="77777777" w:rsidR="00B337C2" w:rsidRDefault="00B337C2" w:rsidP="00B337C2">
      <w:pPr>
        <w:pStyle w:val="ListParagraph"/>
        <w:numPr>
          <w:ilvl w:val="1"/>
          <w:numId w:val="35"/>
        </w:numPr>
        <w:rPr>
          <w:rFonts w:eastAsia="Yu Mincho"/>
          <w:b/>
          <w:lang w:val="en-CA" w:eastAsia="ja-JP"/>
        </w:rPr>
      </w:pPr>
      <w:r>
        <w:rPr>
          <w:rFonts w:eastAsia="Yu Mincho"/>
          <w:b/>
          <w:lang w:val="en-CA" w:eastAsia="ja-JP"/>
        </w:rPr>
        <w:t>For PLI mode:</w:t>
      </w:r>
    </w:p>
    <w:p w14:paraId="77803681" w14:textId="77777777" w:rsidR="00B337C2" w:rsidRPr="00625D0F" w:rsidRDefault="00B337C2" w:rsidP="00B337C2">
      <w:pPr>
        <w:pStyle w:val="ListParagraph"/>
        <w:numPr>
          <w:ilvl w:val="2"/>
          <w:numId w:val="35"/>
        </w:numPr>
        <w:rPr>
          <w:rFonts w:eastAsia="Yu Mincho"/>
          <w:b/>
          <w:lang w:val="en-CA" w:eastAsia="ja-JP"/>
        </w:rPr>
      </w:pPr>
      <w:r>
        <w:rPr>
          <w:rFonts w:eastAsia="Yu Mincho"/>
          <w:b/>
          <w:lang w:val="en-CA" w:eastAsia="ja-JP"/>
        </w:rPr>
        <w:t>A-MPR is max(MPR , A-MPR)</w:t>
      </w:r>
    </w:p>
    <w:p w14:paraId="0CB7F2D8" w14:textId="77777777" w:rsidR="00B337C2" w:rsidRPr="00625D0F" w:rsidRDefault="00B337C2" w:rsidP="00B337C2">
      <w:pPr>
        <w:pStyle w:val="ListParagraph"/>
        <w:numPr>
          <w:ilvl w:val="2"/>
          <w:numId w:val="35"/>
        </w:numPr>
        <w:rPr>
          <w:rFonts w:eastAsia="Yu Mincho"/>
          <w:b/>
          <w:lang w:val="en-CA" w:eastAsia="ja-JP"/>
        </w:rPr>
      </w:pPr>
      <w:r>
        <w:rPr>
          <w:rFonts w:eastAsia="Yu Mincho"/>
          <w:b/>
          <w:lang w:val="en-CA" w:eastAsia="ja-JP"/>
        </w:rPr>
        <w:t>AMPR for 20MHz CBW is 5.5 dB for full and 8dB for partial allocations</w:t>
      </w:r>
    </w:p>
    <w:p w14:paraId="07EC053D" w14:textId="77777777" w:rsidR="00B337C2" w:rsidRPr="00625D0F" w:rsidRDefault="00B337C2" w:rsidP="00B337C2">
      <w:pPr>
        <w:pStyle w:val="ListParagraph"/>
        <w:numPr>
          <w:ilvl w:val="2"/>
          <w:numId w:val="35"/>
        </w:numPr>
        <w:rPr>
          <w:rFonts w:eastAsia="Yu Mincho"/>
          <w:b/>
          <w:lang w:val="en-CA" w:eastAsia="ja-JP"/>
        </w:rPr>
      </w:pPr>
      <w:r>
        <w:rPr>
          <w:rFonts w:eastAsia="Yu Mincho"/>
          <w:b/>
          <w:lang w:val="en-CA" w:eastAsia="ja-JP"/>
        </w:rPr>
        <w:t>AMPR for 40MHz CBW is 2.5 dB for full and 5dB for partial allocations</w:t>
      </w:r>
    </w:p>
    <w:p w14:paraId="0491B48E" w14:textId="77777777" w:rsidR="00B337C2" w:rsidRPr="00625D0F" w:rsidRDefault="00B337C2" w:rsidP="00B337C2">
      <w:pPr>
        <w:pStyle w:val="ListParagraph"/>
        <w:numPr>
          <w:ilvl w:val="2"/>
          <w:numId w:val="35"/>
        </w:numPr>
        <w:rPr>
          <w:rFonts w:eastAsia="Yu Mincho"/>
          <w:b/>
          <w:lang w:val="en-CA" w:eastAsia="ja-JP"/>
        </w:rPr>
      </w:pPr>
      <w:r>
        <w:rPr>
          <w:rFonts w:eastAsia="Yu Mincho"/>
          <w:b/>
          <w:lang w:val="en-CA" w:eastAsia="ja-JP"/>
        </w:rPr>
        <w:t>AMPR for 60MHz CBW is 0 dB for full and 3dB for partial allocations</w:t>
      </w:r>
    </w:p>
    <w:p w14:paraId="64C85252" w14:textId="0884C74B" w:rsidR="00B337C2" w:rsidRDefault="00B337C2" w:rsidP="00B337C2">
      <w:pPr>
        <w:pStyle w:val="ListParagraph"/>
        <w:numPr>
          <w:ilvl w:val="2"/>
          <w:numId w:val="35"/>
        </w:numPr>
        <w:rPr>
          <w:rFonts w:eastAsia="Yu Mincho"/>
          <w:b/>
          <w:lang w:val="en-CA" w:eastAsia="ja-JP"/>
        </w:rPr>
      </w:pPr>
      <w:r>
        <w:rPr>
          <w:rFonts w:eastAsia="Yu Mincho"/>
          <w:b/>
          <w:lang w:val="en-CA" w:eastAsia="ja-JP"/>
        </w:rPr>
        <w:t>AMPR for CBW &gt; 60MHz is 0 dB for full and partial allocations</w:t>
      </w:r>
      <w:r w:rsidR="00E67F10">
        <w:rPr>
          <w:rFonts w:eastAsia="Yu Mincho"/>
          <w:b/>
          <w:lang w:val="en-CA" w:eastAsia="ja-JP"/>
        </w:rPr>
        <w:t>.</w:t>
      </w:r>
    </w:p>
    <w:p w14:paraId="4FEB0678" w14:textId="77777777" w:rsidR="00B337C2" w:rsidRDefault="00B337C2" w:rsidP="00B337C2">
      <w:pPr>
        <w:spacing w:after="0"/>
        <w:rPr>
          <w:rFonts w:eastAsia="SimSun"/>
          <w:b/>
          <w:lang w:eastAsia="zh-CN"/>
        </w:rPr>
      </w:pPr>
      <w:r w:rsidRPr="006D0E1E">
        <w:rPr>
          <w:rFonts w:eastAsia="SimSun"/>
          <w:b/>
          <w:lang w:eastAsia="zh-CN"/>
        </w:rPr>
        <w:t xml:space="preserve">Proposal for </w:t>
      </w:r>
      <w:r>
        <w:rPr>
          <w:rFonts w:eastAsia="SimSun"/>
          <w:b/>
          <w:lang w:eastAsia="zh-CN"/>
        </w:rPr>
        <w:t>VLP power class target if introduced</w:t>
      </w:r>
      <w:r w:rsidRPr="006D0E1E">
        <w:rPr>
          <w:rFonts w:eastAsia="SimSun"/>
          <w:b/>
          <w:lang w:eastAsia="zh-CN"/>
        </w:rPr>
        <w:t xml:space="preserve">: </w:t>
      </w:r>
    </w:p>
    <w:p w14:paraId="06641964" w14:textId="77777777" w:rsidR="00B337C2" w:rsidRPr="00B676B6" w:rsidRDefault="00B337C2" w:rsidP="00B337C2">
      <w:pPr>
        <w:pStyle w:val="ListParagraph"/>
        <w:numPr>
          <w:ilvl w:val="0"/>
          <w:numId w:val="32"/>
        </w:numPr>
        <w:spacing w:after="0"/>
        <w:rPr>
          <w:b/>
          <w:lang w:eastAsia="zh-CN"/>
        </w:rPr>
      </w:pPr>
      <w:r>
        <w:rPr>
          <w:b/>
          <w:lang w:eastAsia="zh-CN"/>
        </w:rPr>
        <w:t>0dB MPR for 20MHz 100RB0 DFT-s-OFDM QPSK waveform</w:t>
      </w:r>
    </w:p>
    <w:p w14:paraId="492EC51A" w14:textId="77777777" w:rsidR="00B337C2" w:rsidRDefault="00B337C2" w:rsidP="00B337C2">
      <w:pPr>
        <w:pStyle w:val="ListParagraph"/>
        <w:numPr>
          <w:ilvl w:val="0"/>
          <w:numId w:val="32"/>
        </w:numPr>
        <w:spacing w:after="0"/>
        <w:rPr>
          <w:b/>
          <w:lang w:eastAsia="zh-CN"/>
        </w:rPr>
      </w:pPr>
      <w:r>
        <w:rPr>
          <w:b/>
          <w:lang w:eastAsia="zh-CN"/>
        </w:rPr>
        <w:t>&lt;1.5dB MPR for 20MHz 100RB0 CP-OFDM QPSK waveform</w:t>
      </w:r>
    </w:p>
    <w:p w14:paraId="740B1078" w14:textId="68DE4E01" w:rsidR="00B337C2" w:rsidRPr="00B337C2" w:rsidRDefault="00B337C2" w:rsidP="00B337C2">
      <w:pPr>
        <w:pStyle w:val="ListParagraph"/>
        <w:numPr>
          <w:ilvl w:val="0"/>
          <w:numId w:val="32"/>
        </w:numPr>
        <w:spacing w:after="0"/>
        <w:rPr>
          <w:b/>
          <w:lang w:eastAsia="zh-CN"/>
        </w:rPr>
      </w:pPr>
      <w:r>
        <w:rPr>
          <w:b/>
          <w:lang w:eastAsia="zh-CN"/>
        </w:rPr>
        <w:t>A-MPR should be based on this PA calibration</w:t>
      </w:r>
      <w:r w:rsidR="00E67F10">
        <w:rPr>
          <w:b/>
          <w:lang w:eastAsia="zh-CN"/>
        </w:rPr>
        <w:t>.</w:t>
      </w:r>
    </w:p>
    <w:p w14:paraId="03D6921F" w14:textId="77777777" w:rsidR="00F10F97" w:rsidRDefault="007321E3" w:rsidP="00C8525F">
      <w:pPr>
        <w:pStyle w:val="Heading1"/>
        <w:numPr>
          <w:ilvl w:val="0"/>
          <w:numId w:val="0"/>
        </w:numPr>
        <w:jc w:val="both"/>
      </w:pPr>
      <w:r>
        <w:t>R</w:t>
      </w:r>
      <w:r w:rsidR="00F10F97">
        <w:t>eferences</w:t>
      </w:r>
    </w:p>
    <w:p w14:paraId="621B9CA8" w14:textId="37A10446" w:rsidR="00292F35" w:rsidRPr="004463F3" w:rsidRDefault="00AC0587" w:rsidP="00AC0587">
      <w:pPr>
        <w:pStyle w:val="ListParagraph"/>
        <w:widowControl w:val="0"/>
        <w:numPr>
          <w:ilvl w:val="0"/>
          <w:numId w:val="11"/>
        </w:numPr>
        <w:snapToGrid w:val="0"/>
      </w:pPr>
      <w:r w:rsidRPr="00AC0587">
        <w:t>R4-2202261 revised from R4-2201128 A-MPR analysis results for NR-U(VLP) considering</w:t>
      </w:r>
      <w:r w:rsidR="008C5927">
        <w:t xml:space="preserve"> regulatory parameters in Korea, </w:t>
      </w:r>
      <w:r w:rsidRPr="00AC0587">
        <w:t>LG Electronics Inc.</w:t>
      </w:r>
      <w:r>
        <w:t xml:space="preserve"> RAN4#10</w:t>
      </w:r>
      <w:r w:rsidR="00CA204C">
        <w:t>1b</w:t>
      </w:r>
      <w:r>
        <w:t>-e</w:t>
      </w:r>
    </w:p>
    <w:sectPr w:rsidR="00292F35" w:rsidRPr="004463F3"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2B07F" w14:textId="77777777" w:rsidR="00F04523" w:rsidRDefault="00F04523">
      <w:r>
        <w:separator/>
      </w:r>
    </w:p>
  </w:endnote>
  <w:endnote w:type="continuationSeparator" w:id="0">
    <w:p w14:paraId="06364B39" w14:textId="77777777" w:rsidR="00F04523" w:rsidRDefault="00F04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EE03F" w14:textId="77777777" w:rsidR="00F04523" w:rsidRDefault="00F04523">
      <w:r>
        <w:separator/>
      </w:r>
    </w:p>
  </w:footnote>
  <w:footnote w:type="continuationSeparator" w:id="0">
    <w:p w14:paraId="059D3B27" w14:textId="77777777" w:rsidR="00F04523" w:rsidRDefault="00F045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75F4457"/>
    <w:multiLevelType w:val="hybridMultilevel"/>
    <w:tmpl w:val="1D84B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7D3399D"/>
    <w:multiLevelType w:val="hybridMultilevel"/>
    <w:tmpl w:val="DF3A6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2">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553074"/>
    <w:multiLevelType w:val="hybridMultilevel"/>
    <w:tmpl w:val="245AF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30714B"/>
    <w:multiLevelType w:val="hybridMultilevel"/>
    <w:tmpl w:val="3CB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5"/>
  </w:num>
  <w:num w:numId="3">
    <w:abstractNumId w:val="16"/>
  </w:num>
  <w:num w:numId="4">
    <w:abstractNumId w:val="32"/>
  </w:num>
  <w:num w:numId="5">
    <w:abstractNumId w:val="14"/>
  </w:num>
  <w:num w:numId="6">
    <w:abstractNumId w:val="4"/>
  </w:num>
  <w:num w:numId="7">
    <w:abstractNumId w:val="17"/>
  </w:num>
  <w:num w:numId="8">
    <w:abstractNumId w:val="29"/>
  </w:num>
  <w:num w:numId="9">
    <w:abstractNumId w:val="30"/>
  </w:num>
  <w:num w:numId="10">
    <w:abstractNumId w:val="3"/>
  </w:num>
  <w:num w:numId="11">
    <w:abstractNumId w:val="11"/>
  </w:num>
  <w:num w:numId="12">
    <w:abstractNumId w:val="19"/>
  </w:num>
  <w:num w:numId="13">
    <w:abstractNumId w:val="22"/>
  </w:num>
  <w:num w:numId="14">
    <w:abstractNumId w:val="8"/>
  </w:num>
  <w:num w:numId="15">
    <w:abstractNumId w:val="12"/>
  </w:num>
  <w:num w:numId="16">
    <w:abstractNumId w:val="1"/>
  </w:num>
  <w:num w:numId="17">
    <w:abstractNumId w:val="20"/>
  </w:num>
  <w:num w:numId="18">
    <w:abstractNumId w:val="13"/>
  </w:num>
  <w:num w:numId="19">
    <w:abstractNumId w:val="28"/>
  </w:num>
  <w:num w:numId="20">
    <w:abstractNumId w:val="31"/>
  </w:num>
  <w:num w:numId="21">
    <w:abstractNumId w:val="10"/>
  </w:num>
  <w:num w:numId="22">
    <w:abstractNumId w:val="7"/>
  </w:num>
  <w:num w:numId="23">
    <w:abstractNumId w:val="0"/>
  </w:num>
  <w:num w:numId="24">
    <w:abstractNumId w:val="9"/>
  </w:num>
  <w:num w:numId="25">
    <w:abstractNumId w:val="24"/>
  </w:num>
  <w:num w:numId="26">
    <w:abstractNumId w:val="34"/>
  </w:num>
  <w:num w:numId="27">
    <w:abstractNumId w:val="21"/>
  </w:num>
  <w:num w:numId="28">
    <w:abstractNumId w:val="26"/>
  </w:num>
  <w:num w:numId="29">
    <w:abstractNumId w:val="2"/>
  </w:num>
  <w:num w:numId="30">
    <w:abstractNumId w:val="27"/>
  </w:num>
  <w:num w:numId="31">
    <w:abstractNumId w:val="33"/>
  </w:num>
  <w:num w:numId="32">
    <w:abstractNumId w:val="25"/>
  </w:num>
  <w:num w:numId="33">
    <w:abstractNumId w:val="23"/>
  </w:num>
  <w:num w:numId="34">
    <w:abstractNumId w:val="5"/>
  </w:num>
  <w:num w:numId="3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382"/>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6B88"/>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CF0"/>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966"/>
    <w:rsid w:val="00376BF2"/>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5F0"/>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7A"/>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04"/>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5D0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6976"/>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2E8A"/>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7C2"/>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04C"/>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182"/>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A77"/>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67F10"/>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1195"/>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523"/>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08FE"/>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53B"/>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2090224">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39781940">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5473318">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1087954">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7FE97-19C6-464E-9F25-D06A71C64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5560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2022-02-14T21:30:00Z</dcterms:created>
  <dcterms:modified xsi:type="dcterms:W3CDTF">2022-02-14T21:30:00Z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